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A80" w:rsidRDefault="006D1A80" w:rsidP="006D1A80">
      <w:pPr>
        <w:tabs>
          <w:tab w:val="left" w:pos="3183"/>
          <w:tab w:val="left" w:pos="3315"/>
        </w:tabs>
        <w:rPr>
          <w:b/>
          <w:lang w:val="sr-Latn-RS"/>
        </w:rPr>
      </w:pPr>
      <w:r w:rsidRPr="006D1A80">
        <w:rPr>
          <w:b/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0BA9FB58" wp14:editId="131C064F">
            <wp:simplePos x="0" y="0"/>
            <wp:positionH relativeFrom="column">
              <wp:posOffset>4587240</wp:posOffset>
            </wp:positionH>
            <wp:positionV relativeFrom="paragraph">
              <wp:posOffset>1905</wp:posOffset>
            </wp:positionV>
            <wp:extent cx="800100" cy="826770"/>
            <wp:effectExtent l="0" t="0" r="0" b="0"/>
            <wp:wrapTight wrapText="bothSides">
              <wp:wrapPolygon edited="0">
                <wp:start x="514" y="0"/>
                <wp:lineTo x="0" y="1991"/>
                <wp:lineTo x="0" y="12442"/>
                <wp:lineTo x="514" y="16424"/>
                <wp:lineTo x="8229" y="20406"/>
                <wp:lineTo x="8743" y="20903"/>
                <wp:lineTo x="12343" y="20903"/>
                <wp:lineTo x="12857" y="20406"/>
                <wp:lineTo x="20571" y="16424"/>
                <wp:lineTo x="21086" y="12442"/>
                <wp:lineTo x="21086" y="1991"/>
                <wp:lineTo x="20571" y="0"/>
                <wp:lineTo x="514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A80" w:rsidRDefault="006D1A80" w:rsidP="006D1A80">
      <w:pPr>
        <w:tabs>
          <w:tab w:val="left" w:pos="3183"/>
          <w:tab w:val="left" w:pos="3315"/>
        </w:tabs>
        <w:rPr>
          <w:b/>
          <w:sz w:val="28"/>
          <w:szCs w:val="28"/>
          <w:lang w:val="sr-Latn-RS"/>
        </w:rPr>
      </w:pPr>
    </w:p>
    <w:p w:rsidR="006D1A80" w:rsidRPr="006D1A80" w:rsidRDefault="006D1A80" w:rsidP="006D1A80">
      <w:pPr>
        <w:tabs>
          <w:tab w:val="left" w:pos="3183"/>
          <w:tab w:val="left" w:pos="3315"/>
        </w:tabs>
        <w:rPr>
          <w:b/>
          <w:sz w:val="28"/>
          <w:szCs w:val="28"/>
          <w:lang w:val="sr-Latn-RS" w:eastAsia="en-US"/>
        </w:rPr>
      </w:pPr>
      <w:r w:rsidRPr="006D1A80">
        <w:rPr>
          <w:b/>
          <w:sz w:val="28"/>
          <w:szCs w:val="28"/>
          <w:lang w:val="sr-Latn-RS"/>
        </w:rPr>
        <w:t>РЕПУБЛИКА СРПСКА</w:t>
      </w:r>
    </w:p>
    <w:p w:rsidR="006D1A80" w:rsidRPr="006D1A80" w:rsidRDefault="006D1A80" w:rsidP="006D1A80">
      <w:pPr>
        <w:tabs>
          <w:tab w:val="left" w:pos="3315"/>
        </w:tabs>
        <w:rPr>
          <w:b/>
          <w:sz w:val="28"/>
          <w:szCs w:val="28"/>
          <w:lang w:val="bs-Cyrl-BA"/>
        </w:rPr>
      </w:pPr>
      <w:r w:rsidRPr="006D1A80">
        <w:rPr>
          <w:b/>
          <w:sz w:val="28"/>
          <w:szCs w:val="28"/>
          <w:lang w:val="bs-Cyrl-BA"/>
        </w:rPr>
        <w:t>ГРАД  ДЕРВЕНТА</w:t>
      </w:r>
    </w:p>
    <w:p w:rsidR="006D1A80" w:rsidRPr="006D1A80" w:rsidRDefault="006D1A80" w:rsidP="006D1A80">
      <w:pPr>
        <w:pBdr>
          <w:bottom w:val="single" w:sz="12" w:space="0" w:color="auto"/>
        </w:pBdr>
        <w:tabs>
          <w:tab w:val="left" w:pos="3315"/>
        </w:tabs>
        <w:rPr>
          <w:b/>
          <w:lang w:val="bs-Cyrl-BA"/>
        </w:rPr>
      </w:pPr>
      <w:r w:rsidRPr="006D1A80">
        <w:rPr>
          <w:b/>
          <w:sz w:val="28"/>
          <w:szCs w:val="28"/>
          <w:lang w:val="bs-Cyrl-BA"/>
        </w:rPr>
        <w:t>ГРАДОНАЧЕЛНИК</w:t>
      </w:r>
    </w:p>
    <w:p w:rsidR="00A6797D" w:rsidRPr="006D1A80" w:rsidRDefault="00A6797D" w:rsidP="006D1A80">
      <w:pPr>
        <w:tabs>
          <w:tab w:val="left" w:pos="3315"/>
        </w:tabs>
        <w:jc w:val="center"/>
        <w:rPr>
          <w:sz w:val="20"/>
          <w:szCs w:val="20"/>
        </w:rPr>
      </w:pPr>
      <w:r w:rsidRPr="006D1A80">
        <w:rPr>
          <w:sz w:val="20"/>
          <w:szCs w:val="20"/>
          <w:lang w:val="sr-Latn-RS"/>
        </w:rPr>
        <w:t>Трг ослобођења бр. 3</w:t>
      </w:r>
      <w:r w:rsidRPr="006D1A80">
        <w:rPr>
          <w:sz w:val="20"/>
          <w:szCs w:val="20"/>
        </w:rPr>
        <w:t xml:space="preserve">, </w:t>
      </w:r>
      <w:r w:rsidRPr="006D1A80">
        <w:rPr>
          <w:sz w:val="20"/>
          <w:szCs w:val="20"/>
          <w:lang w:val="sr-Latn-RS"/>
        </w:rPr>
        <w:t>74400 Дервента, Тел: ++387 53 315</w:t>
      </w:r>
      <w:r w:rsidR="006D1A80">
        <w:rPr>
          <w:sz w:val="20"/>
          <w:szCs w:val="20"/>
          <w:lang w:val="bs-Cyrl-BA"/>
        </w:rPr>
        <w:t xml:space="preserve"> </w:t>
      </w:r>
      <w:r w:rsidRPr="006D1A80">
        <w:rPr>
          <w:sz w:val="20"/>
          <w:szCs w:val="20"/>
          <w:lang w:val="sr-Latn-RS"/>
        </w:rPr>
        <w:t>106</w:t>
      </w:r>
      <w:r w:rsidR="006D1A80">
        <w:rPr>
          <w:sz w:val="20"/>
          <w:szCs w:val="20"/>
          <w:lang w:val="bs-Cyrl-BA"/>
        </w:rPr>
        <w:t xml:space="preserve">, </w:t>
      </w:r>
      <w:r w:rsidRPr="006D1A80">
        <w:rPr>
          <w:sz w:val="20"/>
          <w:szCs w:val="20"/>
          <w:lang w:val="sr-Latn-RS"/>
        </w:rPr>
        <w:t>Факс: ++387 53 315</w:t>
      </w:r>
      <w:r w:rsidR="006D1A80">
        <w:rPr>
          <w:sz w:val="20"/>
          <w:szCs w:val="20"/>
          <w:lang w:val="bs-Cyrl-BA"/>
        </w:rPr>
        <w:t xml:space="preserve"> </w:t>
      </w:r>
      <w:r w:rsidRPr="006D1A80">
        <w:rPr>
          <w:sz w:val="20"/>
          <w:szCs w:val="20"/>
          <w:lang w:val="sr-Latn-RS"/>
        </w:rPr>
        <w:t>105</w:t>
      </w:r>
    </w:p>
    <w:p w:rsidR="00A6797D" w:rsidRPr="006D1A80" w:rsidRDefault="006D1A80" w:rsidP="006D1A80">
      <w:pPr>
        <w:tabs>
          <w:tab w:val="left" w:pos="2010"/>
        </w:tabs>
        <w:jc w:val="center"/>
        <w:rPr>
          <w:sz w:val="20"/>
          <w:szCs w:val="20"/>
          <w:lang w:val="bs-Cyrl-BA"/>
        </w:rPr>
      </w:pPr>
      <w:r>
        <w:rPr>
          <w:sz w:val="20"/>
          <w:szCs w:val="20"/>
          <w:lang w:val="sr-Latn-RS"/>
        </w:rPr>
        <w:t>e</w:t>
      </w:r>
      <w:r w:rsidR="00A6797D" w:rsidRPr="006D1A80">
        <w:rPr>
          <w:sz w:val="20"/>
          <w:szCs w:val="20"/>
          <w:lang w:val="sr-Latn-RS"/>
        </w:rPr>
        <w:t xml:space="preserve">- </w:t>
      </w:r>
      <w:r>
        <w:rPr>
          <w:sz w:val="20"/>
          <w:szCs w:val="20"/>
          <w:lang w:val="sr-Latn-RS"/>
        </w:rPr>
        <w:t>mail</w:t>
      </w:r>
      <w:r w:rsidR="00A6797D" w:rsidRPr="006D1A80">
        <w:rPr>
          <w:sz w:val="20"/>
          <w:szCs w:val="20"/>
          <w:lang w:val="sr-Latn-RS"/>
        </w:rPr>
        <w:t>: derv-gradonacelnik@mtel.tel</w:t>
      </w:r>
    </w:p>
    <w:p w:rsidR="00A6797D" w:rsidRDefault="00A6797D" w:rsidP="00A6797D">
      <w:pPr>
        <w:tabs>
          <w:tab w:val="left" w:pos="2010"/>
        </w:tabs>
        <w:jc w:val="center"/>
        <w:rPr>
          <w:lang w:val="bs-Cyrl-BA"/>
        </w:rPr>
      </w:pPr>
    </w:p>
    <w:p w:rsidR="00A6797D" w:rsidRDefault="00A6797D" w:rsidP="00A6797D">
      <w:pPr>
        <w:jc w:val="center"/>
        <w:rPr>
          <w:lang w:val="sr-Cyrl-CS"/>
        </w:rPr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  <w:rPr>
          <w:lang w:val="sl-SI"/>
        </w:rPr>
      </w:pPr>
    </w:p>
    <w:p w:rsidR="00A6797D" w:rsidRDefault="00A6797D" w:rsidP="002E1793">
      <w:pPr>
        <w:pStyle w:val="Naslov2"/>
      </w:pPr>
      <w:r>
        <w:t>И  З   В   Ј   Е   Ш   Т   А   Ј</w:t>
      </w:r>
    </w:p>
    <w:p w:rsidR="00A6797D" w:rsidRDefault="00A6797D" w:rsidP="00A6797D">
      <w:pPr>
        <w:rPr>
          <w:sz w:val="28"/>
          <w:szCs w:val="28"/>
        </w:rPr>
      </w:pPr>
    </w:p>
    <w:p w:rsidR="00A6797D" w:rsidRDefault="00A6797D" w:rsidP="00A6797D">
      <w:pPr>
        <w:ind w:right="-2"/>
        <w:jc w:val="center"/>
        <w:rPr>
          <w:b/>
          <w:bCs/>
        </w:rPr>
      </w:pPr>
      <w:r>
        <w:rPr>
          <w:b/>
          <w:bCs/>
          <w:lang w:val="bs-Cyrl-BA"/>
        </w:rPr>
        <w:t xml:space="preserve"> </w:t>
      </w:r>
      <w:r>
        <w:rPr>
          <w:b/>
          <w:bCs/>
        </w:rPr>
        <w:t xml:space="preserve">о раду </w:t>
      </w:r>
      <w:r>
        <w:rPr>
          <w:b/>
          <w:bCs/>
          <w:lang w:val="bs-Cyrl-BA"/>
        </w:rPr>
        <w:t xml:space="preserve"> Градоначелника </w:t>
      </w:r>
      <w:r>
        <w:rPr>
          <w:b/>
          <w:bCs/>
        </w:rPr>
        <w:t xml:space="preserve">у </w:t>
      </w:r>
      <w:r>
        <w:rPr>
          <w:b/>
          <w:bCs/>
          <w:lang w:val="bs-Cyrl-BA"/>
        </w:rPr>
        <w:t xml:space="preserve"> </w:t>
      </w:r>
      <w:r w:rsidR="006D1A80">
        <w:rPr>
          <w:b/>
          <w:bCs/>
        </w:rPr>
        <w:t xml:space="preserve">органима  </w:t>
      </w:r>
      <w:r w:rsidR="006D1A80">
        <w:rPr>
          <w:b/>
          <w:bCs/>
          <w:lang w:val="bs-Cyrl-BA"/>
        </w:rPr>
        <w:t>„</w:t>
      </w:r>
      <w:r w:rsidR="006D1A80">
        <w:rPr>
          <w:b/>
          <w:bCs/>
        </w:rPr>
        <w:t>Комуналац</w:t>
      </w:r>
      <w:r w:rsidR="006D1A80">
        <w:rPr>
          <w:b/>
          <w:bCs/>
          <w:lang w:val="bs-Cyrl-BA"/>
        </w:rPr>
        <w:t>“</w:t>
      </w:r>
      <w:r>
        <w:rPr>
          <w:b/>
          <w:bCs/>
        </w:rPr>
        <w:t xml:space="preserve"> а.д. </w:t>
      </w:r>
      <w:r>
        <w:rPr>
          <w:b/>
          <w:bCs/>
          <w:lang w:val="sr-Latn-BA"/>
        </w:rPr>
        <w:t xml:space="preserve"> </w:t>
      </w:r>
      <w:r>
        <w:rPr>
          <w:b/>
          <w:bCs/>
        </w:rPr>
        <w:t xml:space="preserve">Дервента </w:t>
      </w:r>
    </w:p>
    <w:p w:rsidR="00A6797D" w:rsidRDefault="00A6797D" w:rsidP="00A6797D">
      <w:pPr>
        <w:ind w:right="-2"/>
        <w:jc w:val="center"/>
        <w:rPr>
          <w:lang w:val="bs-Cyrl-BA"/>
        </w:rPr>
      </w:pPr>
      <w:r>
        <w:rPr>
          <w:b/>
          <w:bCs/>
          <w:lang w:val="bs-Cyrl-BA"/>
        </w:rPr>
        <w:t>у 2024. години</w:t>
      </w:r>
    </w:p>
    <w:p w:rsidR="00A6797D" w:rsidRDefault="00A6797D" w:rsidP="00A6797D">
      <w:pPr>
        <w:ind w:right="-2"/>
        <w:jc w:val="both"/>
        <w:rPr>
          <w:lang w:val="sr-Latn-BA"/>
        </w:rPr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Default="00A6797D" w:rsidP="00A6797D">
      <w:pPr>
        <w:ind w:right="-2"/>
        <w:jc w:val="both"/>
      </w:pPr>
    </w:p>
    <w:p w:rsidR="00A6797D" w:rsidRPr="004F1503" w:rsidRDefault="00A6797D" w:rsidP="00A6797D">
      <w:pPr>
        <w:ind w:right="-2"/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</w:t>
      </w:r>
      <w:r>
        <w:rPr>
          <w:lang w:val="bs-Latn-BA"/>
        </w:rPr>
        <w:t xml:space="preserve">       </w:t>
      </w:r>
      <w:r w:rsidR="00F564DF">
        <w:rPr>
          <w:lang w:val="bs-Cyrl-BA"/>
        </w:rPr>
        <w:t xml:space="preserve">  Август </w:t>
      </w:r>
      <w:r>
        <w:rPr>
          <w:lang w:val="bs-Cyrl-BA"/>
        </w:rPr>
        <w:t>2025</w:t>
      </w:r>
      <w:r w:rsidR="004F1503">
        <w:rPr>
          <w:lang w:val="bs-Cyrl-BA"/>
        </w:rPr>
        <w:t>. године</w:t>
      </w:r>
    </w:p>
    <w:p w:rsidR="00A6797D" w:rsidRDefault="006D1A80" w:rsidP="00A6797D">
      <w:pPr>
        <w:ind w:right="-2"/>
        <w:jc w:val="both"/>
        <w:rPr>
          <w:bCs/>
          <w:lang w:val="sr-Cyrl-BA"/>
        </w:rPr>
      </w:pPr>
      <w:r>
        <w:rPr>
          <w:bCs/>
          <w:lang w:val="sr-Cyrl-BA"/>
        </w:rPr>
        <w:lastRenderedPageBreak/>
        <w:tab/>
      </w:r>
      <w:r w:rsidR="00A6797D">
        <w:rPr>
          <w:bCs/>
          <w:lang w:val="sr-Cyrl-BA"/>
        </w:rPr>
        <w:t>Правни основ за подношење овог извјештаја садржан је у члану 59. став 1. тачка 13) Закона о локалној самоуправи („Службени гласник Републике Српске“, број</w:t>
      </w:r>
      <w:r w:rsidR="004554DC">
        <w:rPr>
          <w:bCs/>
          <w:lang w:val="sr-Cyrl-BA"/>
        </w:rPr>
        <w:t>:</w:t>
      </w:r>
      <w:r w:rsidR="00A6797D">
        <w:rPr>
          <w:bCs/>
          <w:lang w:val="sr-Cyrl-BA"/>
        </w:rPr>
        <w:t xml:space="preserve"> 97/16, 36/19 и 61/21) којим је прописана надлежност градоначелника да скупштини подноси извјештај о раду у органима предузећа која обављају комуналне дјелатности.</w:t>
      </w:r>
    </w:p>
    <w:p w:rsidR="00A6797D" w:rsidRPr="0053521D" w:rsidRDefault="004554DC" w:rsidP="0053521D">
      <w:pPr>
        <w:ind w:right="-2"/>
        <w:jc w:val="both"/>
      </w:pPr>
      <w:r>
        <w:tab/>
      </w:r>
      <w:r w:rsidR="00A6797D">
        <w:t>Одлуком Скупштине општине Дервента бр</w:t>
      </w:r>
      <w:r>
        <w:rPr>
          <w:lang w:val="bs-Cyrl-BA"/>
        </w:rPr>
        <w:t xml:space="preserve">ој: </w:t>
      </w:r>
      <w:r w:rsidR="00A6797D">
        <w:t xml:space="preserve">01-023-09, од 26.01.1990 године, основано је Јавно предузеће за снабдијевање водом и комуналну хигијену „Комуналац“ Дервента. </w:t>
      </w:r>
    </w:p>
    <w:p w:rsidR="00A6797D" w:rsidRDefault="00A6797D" w:rsidP="00A6797D">
      <w:pPr>
        <w:ind w:right="-2"/>
        <w:jc w:val="both"/>
      </w:pPr>
      <w:r>
        <w:t>Дана 23.05.2011.</w:t>
      </w:r>
      <w:r w:rsidR="004554DC">
        <w:rPr>
          <w:lang w:val="bs-Cyrl-BA"/>
        </w:rPr>
        <w:t xml:space="preserve"> </w:t>
      </w:r>
      <w:r>
        <w:t>године код Централног регистра харија од вриједности а.д. Бања Лука извршен је пренос права својине на акцијама „Комуналац“ а.д. Дервента, са Акцијског фонда Р</w:t>
      </w:r>
      <w:r w:rsidR="004554DC">
        <w:rPr>
          <w:lang w:val="bs-Cyrl-BA"/>
        </w:rPr>
        <w:t xml:space="preserve">епублике </w:t>
      </w:r>
      <w:r>
        <w:t>С</w:t>
      </w:r>
      <w:r w:rsidR="004554DC">
        <w:rPr>
          <w:lang w:val="bs-Cyrl-BA"/>
        </w:rPr>
        <w:t>рпске</w:t>
      </w:r>
      <w:r>
        <w:t xml:space="preserve"> а.д. Бања Лука на Општину и уписана забрана располагања на одговарајућем броју акција. </w:t>
      </w:r>
    </w:p>
    <w:p w:rsidR="00A6797D" w:rsidRDefault="004554DC" w:rsidP="00A6797D">
      <w:pPr>
        <w:ind w:right="-2"/>
        <w:jc w:val="both"/>
        <w:rPr>
          <w:bCs/>
          <w:lang w:val="sr-Cyrl-BA"/>
        </w:rPr>
      </w:pPr>
      <w:r>
        <w:tab/>
      </w:r>
      <w:r w:rsidR="00A6797D">
        <w:t>Пренос акција и упис забране извршени су на основу Закона о преносу права својине на капиталу Републике Српске у предузећима која обављају комуналне дјелатности на јединице локалне самоуправе</w:t>
      </w:r>
      <w:r w:rsidR="00A6797D">
        <w:rPr>
          <w:bCs/>
          <w:lang w:val="sr-Cyrl-BA"/>
        </w:rPr>
        <w:t xml:space="preserve"> . </w:t>
      </w:r>
    </w:p>
    <w:p w:rsidR="00A6797D" w:rsidRDefault="00A6797D" w:rsidP="00A6797D">
      <w:pPr>
        <w:tabs>
          <w:tab w:val="left" w:pos="1763"/>
        </w:tabs>
        <w:ind w:right="-2"/>
        <w:jc w:val="both"/>
      </w:pPr>
      <w:r>
        <w:tab/>
      </w:r>
    </w:p>
    <w:p w:rsidR="00A6797D" w:rsidRDefault="004554DC" w:rsidP="00A6797D">
      <w:pPr>
        <w:ind w:right="-2"/>
        <w:jc w:val="both"/>
        <w:rPr>
          <w:bCs/>
          <w:lang w:val="sr-Cyrl-BA"/>
        </w:rPr>
      </w:pPr>
      <w:r>
        <w:tab/>
      </w:r>
      <w:r w:rsidR="00A6797D">
        <w:t xml:space="preserve">Структура капитала Друштва </w:t>
      </w:r>
      <w:r w:rsidR="008B597A">
        <w:rPr>
          <w:lang w:val="bs-Cyrl-BA"/>
        </w:rPr>
        <w:t xml:space="preserve">у 2024. години састојала </w:t>
      </w:r>
      <w:r w:rsidR="008B597A">
        <w:t xml:space="preserve">се </w:t>
      </w:r>
      <w:r w:rsidR="00A6797D">
        <w:t>од:</w:t>
      </w:r>
    </w:p>
    <w:p w:rsidR="00A6797D" w:rsidRDefault="00A6797D" w:rsidP="00A6797D">
      <w:pPr>
        <w:ind w:right="-2"/>
        <w:jc w:val="both"/>
        <w:rPr>
          <w:b/>
          <w:lang w:val="sr-Latn-BA"/>
        </w:rPr>
      </w:pPr>
    </w:p>
    <w:tbl>
      <w:tblPr>
        <w:tblW w:w="9210" w:type="dxa"/>
        <w:tblInd w:w="-5" w:type="dxa"/>
        <w:shd w:val="clear" w:color="auto" w:fill="FFFFFF" w:themeFill="background1"/>
        <w:tblLayout w:type="fixed"/>
        <w:tblCellMar>
          <w:left w:w="106" w:type="dxa"/>
        </w:tblCellMar>
        <w:tblLook w:val="04A0" w:firstRow="1" w:lastRow="0" w:firstColumn="1" w:lastColumn="0" w:noHBand="0" w:noVBand="1"/>
      </w:tblPr>
      <w:tblGrid>
        <w:gridCol w:w="1703"/>
        <w:gridCol w:w="3849"/>
        <w:gridCol w:w="1800"/>
        <w:gridCol w:w="1858"/>
      </w:tblGrid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Ред.</w:t>
            </w:r>
          </w:p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л а с н и к</w:t>
            </w:r>
          </w:p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 а п и т а л 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  з  н  о  с (КМ)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6797D" w:rsidRDefault="00A6797D" w:rsidP="004554DC">
            <w:pPr>
              <w:spacing w:line="252" w:lineRule="auto"/>
              <w:ind w:right="-2"/>
              <w:jc w:val="both"/>
              <w:rPr>
                <w:b/>
                <w:bCs/>
              </w:rPr>
            </w:pP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Cyrl-BA"/>
              </w:rPr>
              <w:t xml:space="preserve">Град </w:t>
            </w:r>
            <w:r>
              <w:rPr>
                <w:b/>
                <w:bCs/>
              </w:rPr>
              <w:t>Дервента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2,125.2</w:t>
            </w:r>
            <w:r>
              <w:rPr>
                <w:b/>
                <w:bCs/>
                <w:lang w:val="sr-Latn-BA"/>
              </w:rPr>
              <w:t>96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65</w:t>
            </w:r>
            <w:r>
              <w:rPr>
                <w:b/>
                <w:bCs/>
                <w:lang w:val="sr-Latn-BA"/>
              </w:rPr>
              <w:t>,00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both"/>
              <w:rPr>
                <w:b/>
                <w:bCs/>
              </w:rPr>
            </w:pP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</w:rPr>
              <w:t>П</w:t>
            </w:r>
            <w:r>
              <w:rPr>
                <w:b/>
                <w:bCs/>
                <w:lang w:val="sr-Cyrl-BA"/>
              </w:rPr>
              <w:t>РЕФ а.д. Бања Лука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326.963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10</w:t>
            </w:r>
            <w:r>
              <w:rPr>
                <w:b/>
                <w:bCs/>
                <w:lang w:val="sr-Latn-BA"/>
              </w:rPr>
              <w:t>,00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both"/>
              <w:rPr>
                <w:b/>
                <w:bCs/>
              </w:rPr>
            </w:pP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</w:rPr>
              <w:t>Фонд за реституцију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163.481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  <w:lang w:val="sr-Latn-BA"/>
              </w:rPr>
              <w:t>4,99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both"/>
              <w:rPr>
                <w:b/>
                <w:bCs/>
              </w:rPr>
            </w:pPr>
            <w:r>
              <w:rPr>
                <w:b/>
                <w:bCs/>
                <w:lang w:val="sr-Cyrl-BA"/>
              </w:rPr>
              <w:t xml:space="preserve"> ДУИФ </w:t>
            </w:r>
            <w:r>
              <w:rPr>
                <w:b/>
                <w:bCs/>
              </w:rPr>
              <w:t xml:space="preserve">Инвест нова </w:t>
            </w:r>
            <w:r>
              <w:rPr>
                <w:b/>
                <w:bCs/>
                <w:lang w:val="sr-Cyrl-BA"/>
              </w:rPr>
              <w:t>а.д.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1</w:t>
            </w:r>
            <w:r>
              <w:rPr>
                <w:b/>
                <w:bCs/>
                <w:lang w:val="sr-Cyrl-BA"/>
              </w:rPr>
              <w:t>57.426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  <w:lang w:val="sr-Cyrl-BA"/>
              </w:rPr>
              <w:t>4,81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 xml:space="preserve">05 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 ПРОФИ НОВА  доо </w:t>
            </w:r>
            <w:r w:rsidR="004554DC">
              <w:rPr>
                <w:b/>
                <w:bCs/>
                <w:lang w:val="sr-Cyrl-BA"/>
              </w:rPr>
              <w:t>Б</w:t>
            </w:r>
            <w:r>
              <w:rPr>
                <w:b/>
                <w:bCs/>
                <w:lang w:val="sr-Cyrl-BA"/>
              </w:rPr>
              <w:t xml:space="preserve">ијељина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 xml:space="preserve">          15,500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0,47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 xml:space="preserve">06 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 Остали акционари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 xml:space="preserve">         480,960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14,73</w:t>
            </w:r>
          </w:p>
        </w:tc>
      </w:tr>
      <w:tr w:rsidR="00A6797D" w:rsidTr="00A6797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97D" w:rsidRDefault="00A6797D">
            <w:pPr>
              <w:spacing w:line="252" w:lineRule="auto"/>
              <w:ind w:right="-2"/>
              <w:jc w:val="center"/>
              <w:rPr>
                <w:b/>
                <w:bCs/>
                <w:lang w:val="bs-Cyrl-BA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tabs>
                <w:tab w:val="left" w:pos="935"/>
              </w:tabs>
              <w:spacing w:line="252" w:lineRule="auto"/>
              <w:ind w:right="-2"/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ab/>
              <w:t xml:space="preserve">УКУПНО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 w:rsidP="004554DC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3.269.626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97D" w:rsidRDefault="00A6797D">
            <w:pPr>
              <w:spacing w:line="252" w:lineRule="auto"/>
              <w:ind w:right="-2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100%</w:t>
            </w:r>
          </w:p>
        </w:tc>
      </w:tr>
    </w:tbl>
    <w:p w:rsidR="00A6797D" w:rsidRDefault="00A6797D" w:rsidP="00A6797D">
      <w:pPr>
        <w:ind w:right="-2"/>
        <w:jc w:val="both"/>
      </w:pPr>
    </w:p>
    <w:p w:rsidR="00A6797D" w:rsidRDefault="004554DC" w:rsidP="004554DC">
      <w:pPr>
        <w:ind w:right="-2"/>
        <w:jc w:val="both"/>
      </w:pPr>
      <w:r>
        <w:tab/>
      </w:r>
      <w:r w:rsidR="00A6797D">
        <w:t xml:space="preserve">Органи Предузећа </w:t>
      </w:r>
      <w:r w:rsidR="00A6797D">
        <w:rPr>
          <w:lang w:val="bs-Cyrl-BA"/>
        </w:rPr>
        <w:t>„Комуналац“ а.д</w:t>
      </w:r>
      <w:r>
        <w:rPr>
          <w:lang w:val="bs-Cyrl-BA"/>
        </w:rPr>
        <w:t>.</w:t>
      </w:r>
      <w:r w:rsidR="00A6797D">
        <w:rPr>
          <w:lang w:val="bs-Cyrl-BA"/>
        </w:rPr>
        <w:t xml:space="preserve"> Дервента </w:t>
      </w:r>
      <w:r w:rsidR="00A6797D">
        <w:t>су:</w:t>
      </w:r>
      <w:r w:rsidR="00A6797D">
        <w:rPr>
          <w:lang w:val="bs-Cyrl-BA"/>
        </w:rPr>
        <w:t xml:space="preserve"> </w:t>
      </w:r>
      <w:r>
        <w:t>Скупштина акционара</w:t>
      </w:r>
      <w:r w:rsidR="00A6797D">
        <w:rPr>
          <w:lang w:val="bs-Cyrl-BA"/>
        </w:rPr>
        <w:t xml:space="preserve">,  </w:t>
      </w:r>
      <w:r>
        <w:rPr>
          <w:lang w:val="bs-Cyrl-BA"/>
        </w:rPr>
        <w:t>Н</w:t>
      </w:r>
      <w:r w:rsidR="00A6797D">
        <w:t xml:space="preserve">адзорни одбор </w:t>
      </w:r>
      <w:r w:rsidR="00A6797D">
        <w:rPr>
          <w:lang w:val="bs-Cyrl-BA"/>
        </w:rPr>
        <w:t xml:space="preserve">и  </w:t>
      </w:r>
      <w:r w:rsidR="00A6797D">
        <w:t>Управа.</w:t>
      </w:r>
    </w:p>
    <w:p w:rsidR="00A6797D" w:rsidRDefault="00A6797D" w:rsidP="00A6797D">
      <w:pPr>
        <w:ind w:right="-2"/>
      </w:pPr>
    </w:p>
    <w:p w:rsidR="00A6797D" w:rsidRDefault="00A6797D" w:rsidP="00A6797D">
      <w:pPr>
        <w:ind w:right="-2"/>
        <w:rPr>
          <w:b/>
          <w:lang w:val="bs-Cyrl-BA"/>
        </w:rPr>
      </w:pPr>
      <w:r>
        <w:rPr>
          <w:b/>
          <w:lang w:val="bs-Cyrl-BA"/>
        </w:rPr>
        <w:t xml:space="preserve">Скупштина акционара </w:t>
      </w:r>
    </w:p>
    <w:p w:rsidR="00A6797D" w:rsidRDefault="00A6797D" w:rsidP="00A6797D">
      <w:pPr>
        <w:ind w:right="-2"/>
        <w:rPr>
          <w:b/>
          <w:lang w:val="bs-Cyrl-BA"/>
        </w:rPr>
      </w:pPr>
    </w:p>
    <w:p w:rsidR="00A6797D" w:rsidRDefault="004554DC" w:rsidP="00E10033">
      <w:pPr>
        <w:ind w:right="-2"/>
        <w:jc w:val="both"/>
      </w:pPr>
      <w:r>
        <w:tab/>
      </w:r>
      <w:r w:rsidR="00A6797D">
        <w:t xml:space="preserve">Скупштина акционара надлежна је да: </w:t>
      </w:r>
    </w:p>
    <w:p w:rsidR="00A6797D" w:rsidRDefault="00A6797D" w:rsidP="00E10033">
      <w:pPr>
        <w:ind w:right="-2"/>
        <w:jc w:val="both"/>
      </w:pPr>
      <w:r>
        <w:t>1. Доноси Статут,</w:t>
      </w:r>
    </w:p>
    <w:p w:rsidR="00A6797D" w:rsidRDefault="00A6797D" w:rsidP="00E10033">
      <w:pPr>
        <w:ind w:right="-2"/>
        <w:jc w:val="both"/>
      </w:pPr>
      <w:r>
        <w:t xml:space="preserve">2. Доноси </w:t>
      </w:r>
      <w:r w:rsidR="004554DC">
        <w:rPr>
          <w:lang w:val="bs-Cyrl-BA"/>
        </w:rPr>
        <w:t>П</w:t>
      </w:r>
      <w:r>
        <w:t xml:space="preserve">ословник о свом раду и друге пословне акте у складу са Законом, </w:t>
      </w:r>
    </w:p>
    <w:p w:rsidR="00A6797D" w:rsidRDefault="00A6797D" w:rsidP="00E10033">
      <w:pPr>
        <w:ind w:right="-2"/>
        <w:jc w:val="both"/>
      </w:pPr>
      <w:r>
        <w:t xml:space="preserve">3. Доноси Етички кодекс, </w:t>
      </w:r>
    </w:p>
    <w:p w:rsidR="00A6797D" w:rsidRDefault="00A6797D" w:rsidP="00E10033">
      <w:pPr>
        <w:ind w:right="-2"/>
        <w:jc w:val="both"/>
      </w:pPr>
      <w:r>
        <w:t xml:space="preserve">4. Доноси план пословања и ревидирани план пословања, </w:t>
      </w:r>
    </w:p>
    <w:p w:rsidR="00A6797D" w:rsidRDefault="00A6797D" w:rsidP="00E10033">
      <w:pPr>
        <w:ind w:right="-2"/>
        <w:jc w:val="both"/>
      </w:pPr>
      <w:r>
        <w:t xml:space="preserve">5. Доноси програм инвестиција за плански период, </w:t>
      </w:r>
    </w:p>
    <w:p w:rsidR="004554DC" w:rsidRDefault="00A6797D" w:rsidP="00E10033">
      <w:pPr>
        <w:ind w:right="-2"/>
        <w:jc w:val="both"/>
      </w:pPr>
      <w:r>
        <w:t xml:space="preserve">6. Именује и разрјешава Надзорни одбор, Одбор за ревизију и одлучује о њиховим </w:t>
      </w:r>
    </w:p>
    <w:p w:rsidR="00A6797D" w:rsidRDefault="004554DC" w:rsidP="00E10033">
      <w:pPr>
        <w:ind w:right="-2"/>
        <w:jc w:val="both"/>
      </w:pPr>
      <w:r>
        <w:rPr>
          <w:lang w:val="bs-Cyrl-BA"/>
        </w:rPr>
        <w:t xml:space="preserve">    </w:t>
      </w:r>
      <w:r w:rsidR="00A6797D">
        <w:t xml:space="preserve">накнадама, </w:t>
      </w:r>
    </w:p>
    <w:p w:rsidR="00A6797D" w:rsidRDefault="00A6797D" w:rsidP="00E10033">
      <w:pPr>
        <w:ind w:right="-2"/>
        <w:jc w:val="both"/>
      </w:pPr>
      <w:r>
        <w:t>7. Одлучује о трајној пословној сарадњи и повезивању са другим предузећима,</w:t>
      </w:r>
    </w:p>
    <w:p w:rsidR="00A6797D" w:rsidRDefault="00A6797D" w:rsidP="00E10033">
      <w:pPr>
        <w:ind w:right="-2"/>
        <w:jc w:val="both"/>
      </w:pPr>
      <w:r>
        <w:t xml:space="preserve">8. Одлучује о расподјели годишње добити и покрићу губитака, </w:t>
      </w:r>
    </w:p>
    <w:p w:rsidR="00A6797D" w:rsidRDefault="00A6797D" w:rsidP="00E10033">
      <w:pPr>
        <w:ind w:right="-2"/>
        <w:jc w:val="both"/>
      </w:pPr>
      <w:r>
        <w:t xml:space="preserve">9. Одлучује о повећању и смањењу основног капитала, </w:t>
      </w:r>
    </w:p>
    <w:p w:rsidR="00A6797D" w:rsidRDefault="00A6797D" w:rsidP="00E10033">
      <w:pPr>
        <w:ind w:right="-2"/>
        <w:jc w:val="both"/>
      </w:pPr>
      <w:r>
        <w:t xml:space="preserve">10.Одлучује о оснивању нових предузећа, </w:t>
      </w:r>
    </w:p>
    <w:p w:rsidR="00A6797D" w:rsidRDefault="00A6797D" w:rsidP="00E10033">
      <w:pPr>
        <w:ind w:right="-2"/>
        <w:jc w:val="both"/>
        <w:rPr>
          <w:lang w:val="bs-Cyrl-BA"/>
        </w:rPr>
      </w:pPr>
      <w:r>
        <w:t xml:space="preserve">11. </w:t>
      </w:r>
      <w:r>
        <w:rPr>
          <w:lang w:val="bs-Cyrl-BA"/>
        </w:rPr>
        <w:t>Одлучује о формирању пословне јединице,</w:t>
      </w:r>
    </w:p>
    <w:p w:rsidR="00A6797D" w:rsidRDefault="00A6797D" w:rsidP="00E10033">
      <w:pPr>
        <w:ind w:right="-2"/>
        <w:jc w:val="both"/>
        <w:rPr>
          <w:lang w:val="bs-Cyrl-BA"/>
        </w:rPr>
      </w:pPr>
      <w:r>
        <w:rPr>
          <w:lang w:val="bs-Cyrl-BA"/>
        </w:rPr>
        <w:t xml:space="preserve">12. </w:t>
      </w:r>
      <w:r w:rsidR="004554DC">
        <w:rPr>
          <w:lang w:val="bs-Cyrl-BA"/>
        </w:rPr>
        <w:t>Одлучује о статусним промјенама</w:t>
      </w:r>
      <w:r>
        <w:rPr>
          <w:lang w:val="bs-Cyrl-BA"/>
        </w:rPr>
        <w:t>, промјени правне форме и престанку предузећа,</w:t>
      </w:r>
    </w:p>
    <w:p w:rsidR="004554DC" w:rsidRDefault="00A6797D" w:rsidP="00E10033">
      <w:pPr>
        <w:ind w:right="-2"/>
        <w:jc w:val="both"/>
        <w:rPr>
          <w:lang w:val="bs-Cyrl-BA"/>
        </w:rPr>
      </w:pPr>
      <w:r>
        <w:rPr>
          <w:lang w:val="bs-Cyrl-BA"/>
        </w:rPr>
        <w:t xml:space="preserve">13. Одлучује о стицању, продаји, давању у закуп, залагању или другом располагању </w:t>
      </w:r>
    </w:p>
    <w:p w:rsidR="00A6797D" w:rsidRDefault="004554DC" w:rsidP="00E10033">
      <w:pPr>
        <w:ind w:right="-2"/>
        <w:jc w:val="both"/>
        <w:rPr>
          <w:lang w:val="bs-Cyrl-BA"/>
        </w:rPr>
      </w:pPr>
      <w:r>
        <w:rPr>
          <w:lang w:val="bs-Cyrl-BA"/>
        </w:rPr>
        <w:t xml:space="preserve">      </w:t>
      </w:r>
      <w:r w:rsidR="00A6797D">
        <w:rPr>
          <w:lang w:val="bs-Cyrl-BA"/>
        </w:rPr>
        <w:t>имовином велике вриједности, у складу са Законом о привредним друштвима,</w:t>
      </w:r>
    </w:p>
    <w:p w:rsidR="004554DC" w:rsidRDefault="00A6797D" w:rsidP="00E10033">
      <w:pPr>
        <w:ind w:right="-2"/>
        <w:jc w:val="both"/>
      </w:pPr>
      <w:r>
        <w:t xml:space="preserve">14.Одлучује о другим питањима у складу са чланом 281. Закона о привредним </w:t>
      </w:r>
    </w:p>
    <w:p w:rsidR="00A6797D" w:rsidRDefault="004554DC" w:rsidP="00E10033">
      <w:pPr>
        <w:ind w:right="-2"/>
        <w:jc w:val="both"/>
      </w:pPr>
      <w:r>
        <w:rPr>
          <w:lang w:val="bs-Cyrl-BA"/>
        </w:rPr>
        <w:lastRenderedPageBreak/>
        <w:t xml:space="preserve">    </w:t>
      </w:r>
      <w:r w:rsidR="00A6797D">
        <w:t xml:space="preserve">друштвима и Статутом предузећа. </w:t>
      </w:r>
    </w:p>
    <w:p w:rsidR="004554DC" w:rsidRDefault="004554DC" w:rsidP="00A6797D">
      <w:pPr>
        <w:ind w:right="-2"/>
        <w:jc w:val="both"/>
      </w:pPr>
    </w:p>
    <w:p w:rsidR="00A6797D" w:rsidRDefault="004554DC" w:rsidP="00A6797D">
      <w:pPr>
        <w:ind w:right="-2"/>
        <w:jc w:val="both"/>
        <w:rPr>
          <w:lang w:val="bs-Cyrl-BA"/>
        </w:rPr>
      </w:pPr>
      <w:r>
        <w:tab/>
      </w:r>
      <w:r w:rsidR="00A6797D">
        <w:t xml:space="preserve">Раду </w:t>
      </w:r>
      <w:r>
        <w:rPr>
          <w:lang w:val="bs-Cyrl-BA"/>
        </w:rPr>
        <w:t>С</w:t>
      </w:r>
      <w:r w:rsidR="00A6797D">
        <w:t>купштине акционара пре</w:t>
      </w:r>
      <w:r w:rsidR="00A6797D">
        <w:rPr>
          <w:lang w:val="bs-Cyrl-BA"/>
        </w:rPr>
        <w:t>д</w:t>
      </w:r>
      <w:r w:rsidR="00A6797D">
        <w:t>сједава предсједник скупштине.</w:t>
      </w:r>
      <w:r w:rsidR="00A6797D">
        <w:rPr>
          <w:lang w:val="bs-Cyrl-BA"/>
        </w:rPr>
        <w:t xml:space="preserve"> </w:t>
      </w:r>
      <w:r w:rsidR="00A6797D">
        <w:t xml:space="preserve"> Предсједника </w:t>
      </w:r>
      <w:r w:rsidR="00A6797D">
        <w:rPr>
          <w:lang w:val="bs-Cyrl-BA"/>
        </w:rPr>
        <w:t>С</w:t>
      </w:r>
      <w:r w:rsidR="00A6797D">
        <w:t>купштине бирају акционари</w:t>
      </w:r>
      <w:r>
        <w:rPr>
          <w:lang w:val="bs-Cyrl-BA"/>
        </w:rPr>
        <w:t>,</w:t>
      </w:r>
      <w:r w:rsidR="00A6797D">
        <w:t xml:space="preserve"> већином гласова присутних акционара на </w:t>
      </w:r>
      <w:r w:rsidR="00A6797D">
        <w:rPr>
          <w:lang w:val="bs-Cyrl-BA"/>
        </w:rPr>
        <w:t>С</w:t>
      </w:r>
      <w:r w:rsidR="00A6797D">
        <w:t>купштини, на период од пет година</w:t>
      </w:r>
      <w:r w:rsidR="00A6797D">
        <w:rPr>
          <w:lang w:val="bs-Cyrl-BA"/>
        </w:rPr>
        <w:t>.</w:t>
      </w:r>
    </w:p>
    <w:p w:rsidR="00A6797D" w:rsidRDefault="004554DC" w:rsidP="00A6797D">
      <w:pPr>
        <w:spacing w:after="240"/>
        <w:ind w:right="-2"/>
        <w:jc w:val="both"/>
        <w:rPr>
          <w:lang w:val="sr-Cyrl-CS" w:eastAsia="sr-Latn-CS"/>
        </w:rPr>
      </w:pPr>
      <w:r>
        <w:rPr>
          <w:bCs/>
          <w:lang w:val="bs-Cyrl-BA"/>
        </w:rPr>
        <w:tab/>
      </w:r>
      <w:r w:rsidR="00A6797D">
        <w:rPr>
          <w:bCs/>
          <w:lang w:val="bs-Cyrl-BA"/>
        </w:rPr>
        <w:t xml:space="preserve">У складу са чланом  5. став 6. </w:t>
      </w:r>
      <w:r w:rsidR="00A6797D">
        <w:rPr>
          <w:lang w:val="sr-Cyrl-CS" w:eastAsia="sr-Latn-CS"/>
        </w:rPr>
        <w:t xml:space="preserve"> Закона о преносу права својине на капиталу Републике Српске у предузећима која обав</w:t>
      </w:r>
      <w:r>
        <w:rPr>
          <w:lang w:val="sr-Cyrl-CS" w:eastAsia="sr-Latn-CS"/>
        </w:rPr>
        <w:t>љ</w:t>
      </w:r>
      <w:r w:rsidR="00A6797D">
        <w:rPr>
          <w:lang w:val="sr-Cyrl-CS" w:eastAsia="sr-Latn-CS"/>
        </w:rPr>
        <w:t>ају комуналне дјелатности на јединице локалне самоуправе („Службени гласник Републике Српске“</w:t>
      </w:r>
      <w:r>
        <w:rPr>
          <w:lang w:val="sr-Cyrl-CS" w:eastAsia="sr-Latn-CS"/>
        </w:rPr>
        <w:t>,</w:t>
      </w:r>
      <w:r w:rsidR="00A6797D">
        <w:rPr>
          <w:lang w:val="sr-Cyrl-CS" w:eastAsia="sr-Latn-CS"/>
        </w:rPr>
        <w:t xml:space="preserve"> број 50/10), Градоначелник  је у функцији законом овлашћеног представника у Скупштини а.д. „Комуналац“ Дервента </w:t>
      </w:r>
      <w:r w:rsidR="00A6797D">
        <w:rPr>
          <w:lang w:val="bs-Cyrl-BA" w:eastAsia="sr-Latn-CS"/>
        </w:rPr>
        <w:t>давао пуномоћ замјенику Градоначелника за заступа</w:t>
      </w:r>
      <w:r>
        <w:rPr>
          <w:lang w:val="bs-Cyrl-BA" w:eastAsia="sr-Latn-CS"/>
        </w:rPr>
        <w:t>ње на сједницама Скупштине акци</w:t>
      </w:r>
      <w:r w:rsidR="00A6797D">
        <w:rPr>
          <w:lang w:val="bs-Cyrl-BA" w:eastAsia="sr-Latn-CS"/>
        </w:rPr>
        <w:t>онара а.д. „Комуналац</w:t>
      </w:r>
      <w:r>
        <w:rPr>
          <w:lang w:val="bs-Cyrl-BA" w:eastAsia="sr-Latn-CS"/>
        </w:rPr>
        <w:t>“</w:t>
      </w:r>
      <w:r w:rsidR="00A6797D">
        <w:rPr>
          <w:lang w:val="bs-Cyrl-BA" w:eastAsia="sr-Latn-CS"/>
        </w:rPr>
        <w:t xml:space="preserve"> Дервента и </w:t>
      </w:r>
      <w:r w:rsidR="00A6797D">
        <w:rPr>
          <w:lang w:val="sr-Cyrl-CS" w:eastAsia="sr-Latn-CS"/>
        </w:rPr>
        <w:t xml:space="preserve">  као овлашћени представник   Града  у Скупштини акционара привредног друштва „Комуналац“ а</w:t>
      </w:r>
      <w:r>
        <w:rPr>
          <w:lang w:val="sr-Cyrl-CS" w:eastAsia="sr-Latn-CS"/>
        </w:rPr>
        <w:t>.</w:t>
      </w:r>
      <w:r w:rsidR="00A6797D">
        <w:rPr>
          <w:lang w:val="sr-Cyrl-CS" w:eastAsia="sr-Latn-CS"/>
        </w:rPr>
        <w:t>д</w:t>
      </w:r>
      <w:r>
        <w:rPr>
          <w:lang w:val="sr-Cyrl-CS" w:eastAsia="sr-Latn-CS"/>
        </w:rPr>
        <w:t>.</w:t>
      </w:r>
      <w:r w:rsidR="00A6797D">
        <w:rPr>
          <w:lang w:val="sr-Cyrl-CS" w:eastAsia="sr-Latn-CS"/>
        </w:rPr>
        <w:t xml:space="preserve"> Дервента, </w:t>
      </w:r>
      <w:r>
        <w:rPr>
          <w:lang w:val="sr-Cyrl-CS" w:eastAsia="sr-Latn-CS"/>
        </w:rPr>
        <w:t>да заступа  Град,</w:t>
      </w:r>
      <w:r w:rsidR="00A6797D">
        <w:rPr>
          <w:lang w:val="sr-Cyrl-CS" w:eastAsia="sr-Latn-CS"/>
        </w:rPr>
        <w:t xml:space="preserve"> односно да учествује у раду сједница Скупштине акционара „Комуналац“ а.д. Дервента. Овлашћено лице  је  поступало и предузимао све радње у интересу заштите капитала Града у наведеном привредном друштву</w:t>
      </w:r>
      <w:r>
        <w:rPr>
          <w:lang w:val="sr-Cyrl-CS" w:eastAsia="sr-Latn-CS"/>
        </w:rPr>
        <w:t>,</w:t>
      </w:r>
      <w:r w:rsidR="00A6797D">
        <w:rPr>
          <w:lang w:val="sr-Cyrl-CS" w:eastAsia="sr-Latn-CS"/>
        </w:rPr>
        <w:t xml:space="preserve"> а о активностима значајним за капитал Града Дервента  обавјештавао Градоначелника. Пуномоћник је био обавезан  да своје гласачко право остварује савјесно и у најбољем  интересу акционара. Пуномоћник је био овлашћен да заступа јединицу локалне самоуправе – Град Дервента са следећим акцијама: ознака </w:t>
      </w:r>
      <w:r w:rsidR="00A6797D">
        <w:rPr>
          <w:lang w:val="sr-Latn-RS" w:eastAsia="sr-Latn-CS"/>
        </w:rPr>
        <w:t xml:space="preserve">ХОВ: КМНД-Р-А, ИСИН код БА100КМНДРА2, </w:t>
      </w:r>
      <w:r w:rsidR="00A6797D">
        <w:rPr>
          <w:lang w:val="sr-Cyrl-CS" w:eastAsia="sr-Latn-CS"/>
        </w:rPr>
        <w:t xml:space="preserve">врста </w:t>
      </w:r>
      <w:r w:rsidR="00A6797D">
        <w:rPr>
          <w:lang w:val="sr-Latn-RS" w:eastAsia="sr-Latn-CS"/>
        </w:rPr>
        <w:t xml:space="preserve"> ХОВ: РЕДОВНЕ АКЦИЈЕ</w:t>
      </w:r>
      <w:r w:rsidR="00A6797D">
        <w:rPr>
          <w:lang w:val="sr-Cyrl-CS" w:eastAsia="sr-Latn-CS"/>
        </w:rPr>
        <w:t>– са  65,00 %.</w:t>
      </w:r>
      <w:r>
        <w:rPr>
          <w:lang w:val="sr-Cyrl-CS" w:eastAsia="sr-Latn-CS"/>
        </w:rPr>
        <w:t>.</w:t>
      </w:r>
    </w:p>
    <w:p w:rsidR="00A6797D" w:rsidRDefault="004554DC" w:rsidP="00A6797D">
      <w:pPr>
        <w:ind w:right="-2"/>
        <w:jc w:val="both"/>
        <w:rPr>
          <w:lang w:val="bs-Cyrl-BA"/>
        </w:rPr>
      </w:pPr>
      <w:r>
        <w:tab/>
      </w:r>
      <w:r w:rsidR="00A6797D">
        <w:t>Скупштини акционара, по правилу</w:t>
      </w:r>
      <w:r>
        <w:rPr>
          <w:lang w:val="bs-Cyrl-BA"/>
        </w:rPr>
        <w:t>,</w:t>
      </w:r>
      <w:r w:rsidR="00A6797D">
        <w:t xml:space="preserve"> присуствују и учествују у раду – директор, чланови надзорног одбора и независни ревизор</w:t>
      </w:r>
      <w:r w:rsidR="00A6797D">
        <w:rPr>
          <w:lang w:val="bs-Cyrl-BA"/>
        </w:rPr>
        <w:t>.</w:t>
      </w:r>
    </w:p>
    <w:p w:rsidR="00A6797D" w:rsidRDefault="004554DC" w:rsidP="00A6797D">
      <w:pPr>
        <w:spacing w:after="240"/>
        <w:ind w:right="-2"/>
        <w:jc w:val="both"/>
      </w:pPr>
      <w:r>
        <w:tab/>
      </w:r>
      <w:r w:rsidR="00A6797D">
        <w:t>Скупштина акционара сазива се и одржава једном годишње (годишња скупштина) најкасније у року од шест мјесеци  након завршетка пословне године.</w:t>
      </w:r>
    </w:p>
    <w:p w:rsidR="0053521D" w:rsidRDefault="004554DC" w:rsidP="0053521D">
      <w:pPr>
        <w:ind w:right="-2"/>
        <w:jc w:val="both"/>
        <w:rPr>
          <w:lang w:val="bs-Cyrl-BA"/>
        </w:rPr>
      </w:pPr>
      <w:r>
        <w:rPr>
          <w:lang w:val="bs-Cyrl-BA"/>
        </w:rPr>
        <w:tab/>
      </w:r>
      <w:r w:rsidR="0053521D">
        <w:rPr>
          <w:lang w:val="bs-Cyrl-BA"/>
        </w:rPr>
        <w:t>У 2024. годин</w:t>
      </w:r>
      <w:r>
        <w:rPr>
          <w:lang w:val="bs-Cyrl-BA"/>
        </w:rPr>
        <w:t>и</w:t>
      </w:r>
      <w:r w:rsidR="0053521D">
        <w:rPr>
          <w:lang w:val="bs-Cyrl-BA"/>
        </w:rPr>
        <w:t xml:space="preserve"> одржана је једна годишња 23. сједница Скупштина „Комуналац“ а.д</w:t>
      </w:r>
      <w:r>
        <w:rPr>
          <w:lang w:val="bs-Cyrl-BA"/>
        </w:rPr>
        <w:t>.</w:t>
      </w:r>
      <w:r w:rsidR="0053521D">
        <w:rPr>
          <w:lang w:val="bs-Cyrl-BA"/>
        </w:rPr>
        <w:t xml:space="preserve"> Дервента.  Увидом у Извјештај Централног регистра хартија од вриједности </w:t>
      </w:r>
      <w:r w:rsidR="005C2626">
        <w:rPr>
          <w:lang w:val="bs-Cyrl-BA"/>
        </w:rPr>
        <w:t>а.д</w:t>
      </w:r>
      <w:r>
        <w:rPr>
          <w:lang w:val="bs-Cyrl-BA"/>
        </w:rPr>
        <w:t>.</w:t>
      </w:r>
      <w:r w:rsidR="005C2626">
        <w:rPr>
          <w:lang w:val="bs-Cyrl-BA"/>
        </w:rPr>
        <w:t xml:space="preserve"> Бања </w:t>
      </w:r>
      <w:r w:rsidR="009409D1">
        <w:rPr>
          <w:lang w:val="bs-Cyrl-BA"/>
        </w:rPr>
        <w:t>Лука на дан 10.06.2024. године С</w:t>
      </w:r>
      <w:r w:rsidR="005C2626">
        <w:rPr>
          <w:lang w:val="bs-Cyrl-BA"/>
        </w:rPr>
        <w:t>купштини су присуство</w:t>
      </w:r>
      <w:r w:rsidR="00E95379">
        <w:rPr>
          <w:lang w:val="bs-Cyrl-BA"/>
        </w:rPr>
        <w:t>в</w:t>
      </w:r>
      <w:r w:rsidR="005C2626">
        <w:rPr>
          <w:lang w:val="bs-Cyrl-BA"/>
        </w:rPr>
        <w:t>али Град Дервента (по пуномоћи замјеник градоначелника) који је представљао 2125296 акција са правом гласа и са процентуалним учешћем у основном капиталу од 65,001196%, ПРЕФ а.д Бања Лука који представља 326963 акција са правом гласа и са процентуалним учешћем у основном капиталу од 10,0000012%, Фонд за реституцију РС а.д</w:t>
      </w:r>
      <w:r>
        <w:rPr>
          <w:lang w:val="bs-Cyrl-BA"/>
        </w:rPr>
        <w:t>.</w:t>
      </w:r>
      <w:r w:rsidR="005C2626">
        <w:rPr>
          <w:lang w:val="bs-Cyrl-BA"/>
        </w:rPr>
        <w:t xml:space="preserve"> Бањ</w:t>
      </w:r>
      <w:r>
        <w:rPr>
          <w:lang w:val="bs-Cyrl-BA"/>
        </w:rPr>
        <w:t>а</w:t>
      </w:r>
      <w:r w:rsidR="005C2626">
        <w:rPr>
          <w:lang w:val="bs-Cyrl-BA"/>
        </w:rPr>
        <w:t xml:space="preserve"> Лука који представља 163481 акција са правом гласа и са процентуалним учешћем у основном капиталу од 4.999991% ДУИФ Инвест Нова а.д Бијељина –</w:t>
      </w:r>
      <w:r>
        <w:rPr>
          <w:lang w:val="bs-Cyrl-BA"/>
        </w:rPr>
        <w:t xml:space="preserve"> </w:t>
      </w:r>
      <w:r w:rsidR="005C2626">
        <w:rPr>
          <w:lang w:val="bs-Cyrl-BA"/>
        </w:rPr>
        <w:t xml:space="preserve">ОМИФ Инвест Нова који представља 157426 акција са правом одлучивања и процентуалним учешћем у </w:t>
      </w:r>
      <w:r w:rsidR="00E95379">
        <w:rPr>
          <w:lang w:val="bs-Cyrl-BA"/>
        </w:rPr>
        <w:t>о</w:t>
      </w:r>
      <w:r w:rsidR="005C2626">
        <w:rPr>
          <w:lang w:val="bs-Cyrl-BA"/>
        </w:rPr>
        <w:t>с</w:t>
      </w:r>
      <w:r w:rsidR="00E95379">
        <w:rPr>
          <w:lang w:val="bs-Cyrl-BA"/>
        </w:rPr>
        <w:t>н</w:t>
      </w:r>
      <w:r w:rsidR="005C2626">
        <w:rPr>
          <w:lang w:val="bs-Cyrl-BA"/>
        </w:rPr>
        <w:t>о</w:t>
      </w:r>
      <w:r w:rsidR="00E95379">
        <w:rPr>
          <w:lang w:val="bs-Cyrl-BA"/>
        </w:rPr>
        <w:t>в</w:t>
      </w:r>
      <w:r w:rsidR="005C2626">
        <w:rPr>
          <w:lang w:val="bs-Cyrl-BA"/>
        </w:rPr>
        <w:t xml:space="preserve">ном капиталу од 4.814801%, ПРОФИ Нова Бијељина </w:t>
      </w:r>
      <w:r w:rsidR="00170A1E">
        <w:rPr>
          <w:lang w:val="bs-Cyrl-BA"/>
        </w:rPr>
        <w:t xml:space="preserve">који представља  15500 акција са правом гласа са процентуалним учешћем у основном капиталу од 0.474060 % као и други мањински акционари. </w:t>
      </w:r>
    </w:p>
    <w:p w:rsidR="00BE7EC1" w:rsidRPr="00BE7EC1" w:rsidRDefault="00BE7EC1" w:rsidP="007D7725">
      <w:pPr>
        <w:jc w:val="both"/>
        <w:rPr>
          <w:lang w:val="sr-Cyrl-CS"/>
        </w:rPr>
      </w:pPr>
      <w:r w:rsidRPr="00BE7EC1">
        <w:rPr>
          <w:lang w:val="bs-Cyrl-BA"/>
        </w:rPr>
        <w:tab/>
      </w:r>
      <w:r w:rsidR="005859DA">
        <w:rPr>
          <w:lang w:val="bs-Cyrl-BA"/>
        </w:rPr>
        <w:t>Н</w:t>
      </w:r>
      <w:r w:rsidRPr="00BE7EC1">
        <w:rPr>
          <w:lang w:val="bs-Cyrl-BA"/>
        </w:rPr>
        <w:t xml:space="preserve">а </w:t>
      </w:r>
      <w:r w:rsidRPr="00BE7EC1">
        <w:rPr>
          <w:lang w:val="sr-Latn-BA"/>
        </w:rPr>
        <w:t>2</w:t>
      </w:r>
      <w:r w:rsidRPr="00BE7EC1">
        <w:rPr>
          <w:lang w:val="sr-Cyrl-BA"/>
        </w:rPr>
        <w:t>3</w:t>
      </w:r>
      <w:r w:rsidRPr="00BE7EC1">
        <w:rPr>
          <w:lang w:val="sr-Cyrl-CS"/>
        </w:rPr>
        <w:t xml:space="preserve">. </w:t>
      </w:r>
      <w:r w:rsidR="005859DA">
        <w:rPr>
          <w:lang w:val="sr-Cyrl-BA"/>
        </w:rPr>
        <w:t>годишњој</w:t>
      </w:r>
      <w:r w:rsidRPr="00BE7EC1">
        <w:rPr>
          <w:lang w:val="sr-Cyrl-CS"/>
        </w:rPr>
        <w:t xml:space="preserve"> сједниц</w:t>
      </w:r>
      <w:r w:rsidR="005859DA">
        <w:rPr>
          <w:lang w:val="sr-Cyrl-CS"/>
        </w:rPr>
        <w:t>и</w:t>
      </w:r>
      <w:r w:rsidRPr="00BE7EC1">
        <w:rPr>
          <w:lang w:val="sr-Cyrl-CS"/>
        </w:rPr>
        <w:t xml:space="preserve"> Скупштине акционара „Комуналац“ а.д. Дервента, предлож</w:t>
      </w:r>
      <w:r w:rsidR="005859DA">
        <w:rPr>
          <w:lang w:val="sr-Cyrl-CS"/>
        </w:rPr>
        <w:t>ене су и једногласно усвојене сљедеће одлуке: записник</w:t>
      </w:r>
      <w:r w:rsidRPr="00BE7EC1">
        <w:rPr>
          <w:lang w:val="sr-Cyrl-CS"/>
        </w:rPr>
        <w:t xml:space="preserve"> са </w:t>
      </w:r>
      <w:r w:rsidRPr="00BE7EC1">
        <w:rPr>
          <w:lang w:val="sr-Latn-BA"/>
        </w:rPr>
        <w:t>22</w:t>
      </w:r>
      <w:r w:rsidRPr="00BE7EC1">
        <w:t>.</w:t>
      </w:r>
      <w:r w:rsidRPr="00BE7EC1">
        <w:rPr>
          <w:lang w:val="sr-Cyrl-CS"/>
        </w:rPr>
        <w:t xml:space="preserve"> </w:t>
      </w:r>
      <w:r w:rsidRPr="00BE7EC1">
        <w:rPr>
          <w:lang w:val="sr-Cyrl-BA"/>
        </w:rPr>
        <w:t>г</w:t>
      </w:r>
      <w:r w:rsidRPr="00BE7EC1">
        <w:rPr>
          <w:lang w:val="sr-Latn-BA"/>
        </w:rPr>
        <w:t>одишње</w:t>
      </w:r>
      <w:r w:rsidRPr="00BE7EC1">
        <w:rPr>
          <w:lang w:val="sr-Cyrl-CS"/>
        </w:rPr>
        <w:t xml:space="preserve"> сједнице Скупштине акционара „Комуналац“ а.д.</w:t>
      </w:r>
      <w:r w:rsidRPr="00BE7EC1">
        <w:rPr>
          <w:lang w:val="sr-Cyrl-CS"/>
        </w:rPr>
        <w:t xml:space="preserve"> </w:t>
      </w:r>
      <w:r w:rsidR="005859DA">
        <w:rPr>
          <w:lang w:val="sr-Cyrl-CS"/>
        </w:rPr>
        <w:t>Дервента</w:t>
      </w:r>
      <w:r w:rsidRPr="00BE7EC1">
        <w:rPr>
          <w:lang w:val="sr-Latn-BA"/>
        </w:rPr>
        <w:t>,</w:t>
      </w:r>
      <w:r w:rsidR="005859DA">
        <w:rPr>
          <w:lang w:val="sr-Cyrl-CS"/>
        </w:rPr>
        <w:t xml:space="preserve"> </w:t>
      </w:r>
      <w:r w:rsidRPr="00BE7EC1">
        <w:rPr>
          <w:lang w:val="sr-Cyrl-CS"/>
        </w:rPr>
        <w:t>Извјештај независног ревизора о финанс</w:t>
      </w:r>
      <w:r w:rsidRPr="00BE7EC1">
        <w:rPr>
          <w:lang w:val="sr-Cyrl-CS"/>
        </w:rPr>
        <w:t xml:space="preserve">ијским извјештајима „Комуналац“ </w:t>
      </w:r>
      <w:r w:rsidRPr="00BE7EC1">
        <w:rPr>
          <w:lang w:val="sr-Cyrl-CS"/>
        </w:rPr>
        <w:t>а.д. Дервента за 202</w:t>
      </w:r>
      <w:r w:rsidRPr="00BE7EC1">
        <w:rPr>
          <w:lang w:val="sr-Latn-BA"/>
        </w:rPr>
        <w:t>3</w:t>
      </w:r>
      <w:r w:rsidRPr="00BE7EC1">
        <w:t>.</w:t>
      </w:r>
      <w:r w:rsidRPr="00BE7EC1">
        <w:rPr>
          <w:lang w:val="sr-Cyrl-CS"/>
        </w:rPr>
        <w:t xml:space="preserve"> годину</w:t>
      </w:r>
      <w:r w:rsidR="005859DA">
        <w:rPr>
          <w:lang w:val="sr-Cyrl-CS"/>
        </w:rPr>
        <w:t>,</w:t>
      </w:r>
      <w:r w:rsidRPr="00BE7EC1">
        <w:rPr>
          <w:lang w:val="sr-Cyrl-CS"/>
        </w:rPr>
        <w:t xml:space="preserve">  Финансијски извјештај</w:t>
      </w:r>
      <w:r w:rsidR="005859DA">
        <w:rPr>
          <w:lang w:val="sr-Cyrl-CS"/>
        </w:rPr>
        <w:t>и</w:t>
      </w:r>
      <w:r w:rsidRPr="00BE7EC1">
        <w:rPr>
          <w:lang w:val="sr-Cyrl-CS"/>
        </w:rPr>
        <w:t xml:space="preserve"> "Комуналац" а.д. Дервента за 202</w:t>
      </w:r>
      <w:r w:rsidRPr="00BE7EC1">
        <w:rPr>
          <w:lang w:val="sr-Latn-BA"/>
        </w:rPr>
        <w:t>3</w:t>
      </w:r>
      <w:r w:rsidRPr="00BE7EC1">
        <w:rPr>
          <w:lang w:val="sr-Cyrl-CS"/>
        </w:rPr>
        <w:t>.годину</w:t>
      </w:r>
      <w:r w:rsidR="005859DA">
        <w:rPr>
          <w:lang w:val="sr-Cyrl-CS"/>
        </w:rPr>
        <w:t xml:space="preserve">, </w:t>
      </w:r>
      <w:r w:rsidRPr="00BE7EC1">
        <w:rPr>
          <w:lang w:val="sr-Cyrl-CS"/>
        </w:rPr>
        <w:t>Одлук</w:t>
      </w:r>
      <w:r w:rsidR="005859DA">
        <w:rPr>
          <w:lang w:val="sr-Cyrl-CS"/>
        </w:rPr>
        <w:t>а</w:t>
      </w:r>
      <w:r w:rsidRPr="00BE7EC1">
        <w:rPr>
          <w:lang w:val="sr-Cyrl-CS"/>
        </w:rPr>
        <w:t xml:space="preserve"> о </w:t>
      </w:r>
      <w:r w:rsidRPr="00BE7EC1">
        <w:rPr>
          <w:lang w:val="sr-Cyrl-BA"/>
        </w:rPr>
        <w:t xml:space="preserve">расподјели добити остварене </w:t>
      </w:r>
      <w:r w:rsidRPr="00BE7EC1">
        <w:rPr>
          <w:lang w:val="sr-Cyrl-CS"/>
        </w:rPr>
        <w:t>у 202</w:t>
      </w:r>
      <w:r w:rsidRPr="00BE7EC1">
        <w:rPr>
          <w:lang w:val="sr-Latn-BA"/>
        </w:rPr>
        <w:t>3</w:t>
      </w:r>
      <w:r w:rsidRPr="00BE7EC1">
        <w:rPr>
          <w:lang w:val="sr-Cyrl-CS"/>
        </w:rPr>
        <w:t>.годин</w:t>
      </w:r>
      <w:r w:rsidRPr="00BE7EC1">
        <w:rPr>
          <w:lang w:val="sr-Cyrl-BA"/>
        </w:rPr>
        <w:t>и</w:t>
      </w:r>
      <w:r w:rsidRPr="00BE7EC1">
        <w:rPr>
          <w:lang w:val="sr-Cyrl-CS"/>
        </w:rPr>
        <w:t>,</w:t>
      </w:r>
      <w:r w:rsidR="005859DA">
        <w:rPr>
          <w:lang w:val="sr-Cyrl-CS"/>
        </w:rPr>
        <w:t xml:space="preserve"> </w:t>
      </w:r>
      <w:r w:rsidRPr="00BE7EC1">
        <w:rPr>
          <w:lang w:val="sr-Cyrl-CS"/>
        </w:rPr>
        <w:t xml:space="preserve"> Извјештај о раду и послова</w:t>
      </w:r>
      <w:r w:rsidR="007D7725">
        <w:rPr>
          <w:lang w:val="sr-Cyrl-CS"/>
        </w:rPr>
        <w:t xml:space="preserve">њу "Комуналац" а.д. Дервента у </w:t>
      </w:r>
      <w:bookmarkStart w:id="0" w:name="_GoBack"/>
      <w:bookmarkEnd w:id="0"/>
      <w:r w:rsidRPr="00BE7EC1">
        <w:rPr>
          <w:lang w:val="sr-Cyrl-CS"/>
        </w:rPr>
        <w:t>202</w:t>
      </w:r>
      <w:r w:rsidRPr="00BE7EC1">
        <w:rPr>
          <w:lang w:val="sr-Latn-BA"/>
        </w:rPr>
        <w:t>3</w:t>
      </w:r>
      <w:r w:rsidRPr="00BE7EC1">
        <w:rPr>
          <w:lang w:val="sr-Cyrl-CS"/>
        </w:rPr>
        <w:t>.години</w:t>
      </w:r>
      <w:r w:rsidR="005859DA">
        <w:rPr>
          <w:lang w:val="sr-Cyrl-CS"/>
        </w:rPr>
        <w:t xml:space="preserve">, </w:t>
      </w:r>
      <w:r w:rsidRPr="00BE7EC1">
        <w:rPr>
          <w:lang w:val="sr-Cyrl-CS"/>
        </w:rPr>
        <w:t>План рада и пословања „Комуналац“ а.д. Дервента за 20</w:t>
      </w:r>
      <w:r w:rsidRPr="00BE7EC1">
        <w:rPr>
          <w:lang w:val="sr-Cyrl-BA"/>
        </w:rPr>
        <w:t>2</w:t>
      </w:r>
      <w:r w:rsidRPr="00BE7EC1">
        <w:rPr>
          <w:lang w:val="sr-Latn-BA"/>
        </w:rPr>
        <w:t>4</w:t>
      </w:r>
      <w:r w:rsidRPr="00BE7EC1">
        <w:rPr>
          <w:lang w:val="sr-Cyrl-CS"/>
        </w:rPr>
        <w:t>.годину</w:t>
      </w:r>
      <w:r w:rsidR="005859DA">
        <w:rPr>
          <w:lang w:val="sr-Cyrl-CS"/>
        </w:rPr>
        <w:t xml:space="preserve">, </w:t>
      </w:r>
      <w:r w:rsidRPr="00BE7EC1">
        <w:rPr>
          <w:lang w:val="sr-Cyrl-CS"/>
        </w:rPr>
        <w:t>План</w:t>
      </w:r>
      <w:r w:rsidRPr="00BE7EC1">
        <w:rPr>
          <w:lang w:val="sr-Latn-BA"/>
        </w:rPr>
        <w:t xml:space="preserve"> рада и</w:t>
      </w:r>
      <w:r w:rsidRPr="00BE7EC1">
        <w:rPr>
          <w:lang w:val="sr-Cyrl-CS"/>
        </w:rPr>
        <w:t xml:space="preserve"> пословања „Комуналац“ а.д. Дервента за период 202</w:t>
      </w:r>
      <w:r w:rsidRPr="00BE7EC1">
        <w:rPr>
          <w:lang w:val="sr-Latn-BA"/>
        </w:rPr>
        <w:t>4</w:t>
      </w:r>
      <w:r w:rsidRPr="00BE7EC1">
        <w:rPr>
          <w:lang w:val="sr-Cyrl-CS"/>
        </w:rPr>
        <w:t>-202</w:t>
      </w:r>
      <w:r w:rsidRPr="00BE7EC1">
        <w:rPr>
          <w:lang w:val="sr-Latn-BA"/>
        </w:rPr>
        <w:t>6</w:t>
      </w:r>
      <w:r w:rsidRPr="00BE7EC1">
        <w:rPr>
          <w:lang w:val="sr-Cyrl-CS"/>
        </w:rPr>
        <w:t>.</w:t>
      </w:r>
      <w:r w:rsidRPr="00BE7EC1">
        <w:rPr>
          <w:lang w:val="sr-Cyrl-CS"/>
        </w:rPr>
        <w:t xml:space="preserve"> </w:t>
      </w:r>
      <w:r w:rsidRPr="00BE7EC1">
        <w:rPr>
          <w:lang w:val="sr-Cyrl-CS"/>
        </w:rPr>
        <w:t>година</w:t>
      </w:r>
      <w:r w:rsidR="005859DA">
        <w:rPr>
          <w:lang w:val="sr-Cyrl-CS"/>
        </w:rPr>
        <w:t xml:space="preserve">, </w:t>
      </w:r>
      <w:r w:rsidRPr="00BE7EC1">
        <w:rPr>
          <w:lang w:val="sr-Cyrl-CS"/>
        </w:rPr>
        <w:t xml:space="preserve"> </w:t>
      </w:r>
      <w:r w:rsidR="005859DA">
        <w:rPr>
          <w:lang w:val="sr-Cyrl-CS"/>
        </w:rPr>
        <w:t>Извјештај</w:t>
      </w:r>
      <w:r w:rsidRPr="00BE7EC1">
        <w:rPr>
          <w:lang w:val="sr-Cyrl-CS"/>
        </w:rPr>
        <w:t xml:space="preserve"> о раду Надзорног одбора „Комуналац“ а.д. Дервента у </w:t>
      </w:r>
      <w:r w:rsidRPr="00BE7EC1">
        <w:t>20</w:t>
      </w:r>
      <w:r w:rsidRPr="00BE7EC1">
        <w:rPr>
          <w:lang w:val="sr-Cyrl-BA"/>
        </w:rPr>
        <w:t>2</w:t>
      </w:r>
      <w:r w:rsidRPr="00BE7EC1">
        <w:rPr>
          <w:lang w:val="sr-Latn-BA"/>
        </w:rPr>
        <w:t>3</w:t>
      </w:r>
      <w:r w:rsidRPr="00BE7EC1">
        <w:t>.</w:t>
      </w:r>
      <w:r>
        <w:rPr>
          <w:lang w:val="bs-Cyrl-BA"/>
        </w:rPr>
        <w:t xml:space="preserve"> </w:t>
      </w:r>
      <w:r w:rsidRPr="00BE7EC1">
        <w:rPr>
          <w:lang w:val="sr-Cyrl-CS"/>
        </w:rPr>
        <w:t>години</w:t>
      </w:r>
      <w:r w:rsidR="005859DA">
        <w:rPr>
          <w:lang w:val="sr-Cyrl-CS"/>
        </w:rPr>
        <w:t>,</w:t>
      </w:r>
      <w:r w:rsidRPr="00BE7EC1">
        <w:rPr>
          <w:lang w:val="sr-Cyrl-CS"/>
        </w:rPr>
        <w:t xml:space="preserve"> Извјештај о раду Одбора за ревизију „Комуналац“ а.д. Дервента у </w:t>
      </w:r>
      <w:r w:rsidRPr="00BE7EC1">
        <w:t>20</w:t>
      </w:r>
      <w:r w:rsidRPr="00BE7EC1">
        <w:rPr>
          <w:lang w:val="sr-Cyrl-BA"/>
        </w:rPr>
        <w:t>2</w:t>
      </w:r>
      <w:r w:rsidRPr="00BE7EC1">
        <w:rPr>
          <w:lang w:val="sr-Latn-BA"/>
        </w:rPr>
        <w:t>3</w:t>
      </w:r>
      <w:r w:rsidRPr="00BE7EC1">
        <w:t>.</w:t>
      </w:r>
      <w:r>
        <w:rPr>
          <w:lang w:val="bs-Cyrl-BA"/>
        </w:rPr>
        <w:t xml:space="preserve"> </w:t>
      </w:r>
      <w:r w:rsidRPr="00BE7EC1">
        <w:rPr>
          <w:lang w:val="sr-Cyrl-CS"/>
        </w:rPr>
        <w:t>години</w:t>
      </w:r>
      <w:r w:rsidR="007D7725">
        <w:rPr>
          <w:lang w:val="sr-Cyrl-CS"/>
        </w:rPr>
        <w:t xml:space="preserve">, </w:t>
      </w:r>
      <w:r w:rsidRPr="00BE7EC1">
        <w:rPr>
          <w:lang w:val="sr-Cyrl-CS"/>
        </w:rPr>
        <w:t xml:space="preserve">Извјештај о закљученим уговорима између „Комуналац“ а.д. Дервента и повезаних лица у </w:t>
      </w:r>
      <w:r w:rsidRPr="00BE7EC1">
        <w:t>20</w:t>
      </w:r>
      <w:r w:rsidRPr="00BE7EC1">
        <w:rPr>
          <w:lang w:val="sr-Cyrl-BA"/>
        </w:rPr>
        <w:t>2</w:t>
      </w:r>
      <w:r w:rsidRPr="00BE7EC1">
        <w:rPr>
          <w:lang w:val="sr-Latn-BA"/>
        </w:rPr>
        <w:t>3</w:t>
      </w:r>
      <w:r w:rsidRPr="00BE7EC1">
        <w:t>.</w:t>
      </w:r>
      <w:r w:rsidRPr="00BE7EC1">
        <w:rPr>
          <w:lang w:val="sr-Cyrl-CS"/>
        </w:rPr>
        <w:t>години</w:t>
      </w:r>
      <w:r w:rsidR="007D7725">
        <w:rPr>
          <w:lang w:val="sr-Cyrl-CS"/>
        </w:rPr>
        <w:t xml:space="preserve">. </w:t>
      </w:r>
      <w:r w:rsidRPr="00BE7EC1">
        <w:rPr>
          <w:lang w:val="sr-Cyrl-CS"/>
        </w:rPr>
        <w:t xml:space="preserve"> </w:t>
      </w:r>
    </w:p>
    <w:p w:rsidR="00BE7EC1" w:rsidRDefault="00BE7EC1" w:rsidP="005859DA">
      <w:pPr>
        <w:jc w:val="both"/>
        <w:rPr>
          <w:lang w:val="sr-Cyrl-CS"/>
        </w:rPr>
      </w:pPr>
      <w:r w:rsidRPr="004D15B1">
        <w:rPr>
          <w:lang w:val="sr-Cyrl-CS"/>
        </w:rPr>
        <w:lastRenderedPageBreak/>
        <w:tab/>
        <w:t>Све предложене</w:t>
      </w:r>
      <w:r w:rsidRPr="004D15B1">
        <w:rPr>
          <w:lang w:val="bs-Cyrl-BA"/>
        </w:rPr>
        <w:t xml:space="preserve"> тачке су након дискусије једногласно усвојене, осим Одлуке о именовању </w:t>
      </w:r>
      <w:r w:rsidRPr="004D15B1">
        <w:rPr>
          <w:lang w:val="sr-Cyrl-CS"/>
        </w:rPr>
        <w:t>једног члана Надзорног одбора „Комуналац“ а.д. Дервента из реда мањинских акционара</w:t>
      </w:r>
      <w:r w:rsidR="004D15B1" w:rsidRPr="004D15B1">
        <w:rPr>
          <w:lang w:val="sr-Cyrl-CS"/>
        </w:rPr>
        <w:t xml:space="preserve">. У току дискусије по наведеној тачки дневног реда, замјеник градоначелника је изјавио да је </w:t>
      </w:r>
      <w:r w:rsidR="004D15B1" w:rsidRPr="004D15B1">
        <w:rPr>
          <w:lang w:val="sr-Cyrl-BA"/>
        </w:rPr>
        <w:t>члан</w:t>
      </w:r>
      <w:r w:rsidR="004D15B1" w:rsidRPr="004D15B1">
        <w:rPr>
          <w:lang w:val="sr-Cyrl-BA"/>
        </w:rPr>
        <w:t>ом</w:t>
      </w:r>
      <w:r w:rsidR="004D15B1" w:rsidRPr="004D15B1">
        <w:rPr>
          <w:lang w:val="sr-Cyrl-BA"/>
        </w:rPr>
        <w:t xml:space="preserve"> 51. Статута Друштва </w:t>
      </w:r>
      <w:r w:rsidR="004D15B1" w:rsidRPr="004D15B1">
        <w:rPr>
          <w:lang w:val="sr-Cyrl-BA"/>
        </w:rPr>
        <w:t>регулисано</w:t>
      </w:r>
      <w:r w:rsidR="004D15B1" w:rsidRPr="004D15B1">
        <w:rPr>
          <w:lang w:val="sr-Cyrl-BA"/>
        </w:rPr>
        <w:t xml:space="preserve"> да мањински акционари који имају најмање 5% гласачких права утврђују приједлог за члана Надзорног одбора који садржи имена најмање два кандидата, што овде није случај, јер у приједлогу </w:t>
      </w:r>
      <w:r w:rsidR="004D15B1">
        <w:rPr>
          <w:lang w:val="sr-Cyrl-BA"/>
        </w:rPr>
        <w:t>наведен само</w:t>
      </w:r>
      <w:r w:rsidR="004D15B1" w:rsidRPr="004D15B1">
        <w:rPr>
          <w:lang w:val="sr-Cyrl-BA"/>
        </w:rPr>
        <w:t xml:space="preserve"> једн</w:t>
      </w:r>
      <w:r w:rsidR="004D15B1">
        <w:rPr>
          <w:lang w:val="sr-Cyrl-BA"/>
        </w:rPr>
        <w:t>ан</w:t>
      </w:r>
      <w:r w:rsidR="004D15B1" w:rsidRPr="004D15B1">
        <w:rPr>
          <w:lang w:val="sr-Cyrl-BA"/>
        </w:rPr>
        <w:t xml:space="preserve"> кандидат.</w:t>
      </w:r>
      <w:r w:rsidR="004D15B1" w:rsidRPr="004D15B1">
        <w:rPr>
          <w:lang w:val="sr-Latn-BA"/>
        </w:rPr>
        <w:t xml:space="preserve"> </w:t>
      </w:r>
      <w:r w:rsidR="004D15B1" w:rsidRPr="004D15B1">
        <w:rPr>
          <w:lang w:val="sr-Cyrl-BA"/>
        </w:rPr>
        <w:t xml:space="preserve">Због </w:t>
      </w:r>
      <w:r w:rsidR="004D15B1">
        <w:rPr>
          <w:lang w:val="sr-Cyrl-BA"/>
        </w:rPr>
        <w:t xml:space="preserve">тога сматра </w:t>
      </w:r>
      <w:r w:rsidR="004D15B1" w:rsidRPr="004D15B1">
        <w:rPr>
          <w:lang w:val="sr-Cyrl-BA"/>
        </w:rPr>
        <w:t>да овакв</w:t>
      </w:r>
      <w:r w:rsidR="005859DA">
        <w:rPr>
          <w:lang w:val="sr-Cyrl-BA"/>
        </w:rPr>
        <w:t>ав</w:t>
      </w:r>
      <w:r w:rsidR="004D15B1" w:rsidRPr="004D15B1">
        <w:rPr>
          <w:lang w:val="sr-Cyrl-BA"/>
        </w:rPr>
        <w:t xml:space="preserve"> приједлог </w:t>
      </w:r>
      <w:r w:rsidR="005859DA">
        <w:rPr>
          <w:lang w:val="sr-Cyrl-BA"/>
        </w:rPr>
        <w:t xml:space="preserve">није у сагласности са </w:t>
      </w:r>
      <w:r w:rsidR="004D15B1" w:rsidRPr="004D15B1">
        <w:rPr>
          <w:lang w:val="sr-Cyrl-BA"/>
        </w:rPr>
        <w:t>одредб</w:t>
      </w:r>
      <w:r w:rsidR="005859DA">
        <w:rPr>
          <w:lang w:val="sr-Cyrl-BA"/>
        </w:rPr>
        <w:t>ама</w:t>
      </w:r>
      <w:r w:rsidR="004D15B1" w:rsidRPr="004D15B1">
        <w:rPr>
          <w:lang w:val="sr-Cyrl-BA"/>
        </w:rPr>
        <w:t xml:space="preserve"> Статута Друштва</w:t>
      </w:r>
      <w:r w:rsidR="004D15B1">
        <w:rPr>
          <w:lang w:val="sr-Cyrl-BA"/>
        </w:rPr>
        <w:t>,</w:t>
      </w:r>
      <w:r w:rsidR="004D15B1" w:rsidRPr="004D15B1">
        <w:rPr>
          <w:lang w:val="sr-Cyrl-BA"/>
        </w:rPr>
        <w:t xml:space="preserve"> те је против оваквог приједлога мањинских акционара.</w:t>
      </w:r>
      <w:r w:rsidR="004D15B1" w:rsidRPr="004D15B1">
        <w:rPr>
          <w:lang w:val="sr-Cyrl-BA"/>
        </w:rPr>
        <w:t xml:space="preserve"> </w:t>
      </w:r>
      <w:r w:rsidR="004D15B1">
        <w:rPr>
          <w:lang w:val="sr-Cyrl-CS"/>
        </w:rPr>
        <w:t>Након гласања констатовано је да</w:t>
      </w:r>
      <w:r w:rsidR="004D15B1" w:rsidRPr="004D15B1">
        <w:rPr>
          <w:lang w:val="sr-Cyrl-CS"/>
        </w:rPr>
        <w:t xml:space="preserve"> </w:t>
      </w:r>
      <w:r w:rsidR="004D15B1" w:rsidRPr="004D15B1">
        <w:rPr>
          <w:lang w:val="sr-Latn-BA"/>
        </w:rPr>
        <w:t xml:space="preserve">није усвојена Одлука о именовању једног члана </w:t>
      </w:r>
      <w:r w:rsidR="004D15B1" w:rsidRPr="004D15B1">
        <w:rPr>
          <w:lang w:val="sr-Cyrl-CS"/>
        </w:rPr>
        <w:t>Надзорног одбора Друштва из реда мањинских акционара.</w:t>
      </w:r>
    </w:p>
    <w:p w:rsidR="005859DA" w:rsidRPr="005859DA" w:rsidRDefault="005859DA" w:rsidP="005859DA">
      <w:pPr>
        <w:jc w:val="both"/>
        <w:rPr>
          <w:lang w:val="sr-Cyrl-BA"/>
        </w:rPr>
      </w:pPr>
      <w:r w:rsidRPr="005859DA">
        <w:rPr>
          <w:lang w:val="sr-Cyrl-CS"/>
        </w:rPr>
        <w:tab/>
        <w:t xml:space="preserve">Замјеник градоначелника је у току сједнице скупштине акционара сугерисао да би било пожељно да на сједницама присуствује предсједник или бар неко од чланова Надзорног одбора, </w:t>
      </w:r>
      <w:r w:rsidRPr="005859DA">
        <w:rPr>
          <w:lang w:val="sr-Cyrl-BA"/>
        </w:rPr>
        <w:t>како би поред презентованог извјеш</w:t>
      </w:r>
      <w:r>
        <w:rPr>
          <w:lang w:val="sr-Cyrl-BA"/>
        </w:rPr>
        <w:t>т</w:t>
      </w:r>
      <w:r w:rsidRPr="005859DA">
        <w:rPr>
          <w:lang w:val="sr-Cyrl-BA"/>
        </w:rPr>
        <w:t>аја одговорио на евентуална питања акционарима у вези са радом Надзорног одбора у датом периоду.</w:t>
      </w:r>
    </w:p>
    <w:p w:rsidR="004A735A" w:rsidRDefault="004554DC" w:rsidP="00A6797D">
      <w:pPr>
        <w:spacing w:after="240"/>
        <w:ind w:right="-2"/>
        <w:jc w:val="both"/>
        <w:rPr>
          <w:lang w:val="bs-Cyrl-BA"/>
        </w:rPr>
      </w:pPr>
      <w:r>
        <w:rPr>
          <w:lang w:val="bs-Cyrl-BA"/>
        </w:rPr>
        <w:tab/>
      </w:r>
      <w:r w:rsidR="00BC3274">
        <w:rPr>
          <w:lang w:val="bs-Cyrl-BA"/>
        </w:rPr>
        <w:t>Рад  градоначелника у органима „Комуналац“ а.д</w:t>
      </w:r>
      <w:r>
        <w:rPr>
          <w:lang w:val="bs-Cyrl-BA"/>
        </w:rPr>
        <w:t>.</w:t>
      </w:r>
      <w:r w:rsidR="00BC3274">
        <w:rPr>
          <w:lang w:val="bs-Cyrl-BA"/>
        </w:rPr>
        <w:t xml:space="preserve"> Дервнета у 2024. години представљен је кроз </w:t>
      </w:r>
      <w:r w:rsidR="004F4B62">
        <w:rPr>
          <w:lang w:val="bs-Cyrl-BA"/>
        </w:rPr>
        <w:t xml:space="preserve">усвајање и </w:t>
      </w:r>
      <w:r w:rsidR="00BC3274">
        <w:rPr>
          <w:lang w:val="bs-Cyrl-BA"/>
        </w:rPr>
        <w:t xml:space="preserve">реализацију </w:t>
      </w:r>
      <w:r w:rsidR="004F4B62">
        <w:rPr>
          <w:lang w:val="bs-Cyrl-BA"/>
        </w:rPr>
        <w:t>Плана рада и пословања „Комуналац“ а.д</w:t>
      </w:r>
      <w:r>
        <w:rPr>
          <w:lang w:val="bs-Cyrl-BA"/>
        </w:rPr>
        <w:t>.</w:t>
      </w:r>
      <w:r w:rsidR="004F4B62">
        <w:rPr>
          <w:lang w:val="bs-Cyrl-BA"/>
        </w:rPr>
        <w:t xml:space="preserve"> Дервента за 2024. годину</w:t>
      </w:r>
      <w:r>
        <w:rPr>
          <w:lang w:val="bs-Cyrl-BA"/>
        </w:rPr>
        <w:t>,</w:t>
      </w:r>
      <w:r w:rsidR="004F4B62">
        <w:rPr>
          <w:lang w:val="bs-Cyrl-BA"/>
        </w:rPr>
        <w:t xml:space="preserve">  </w:t>
      </w:r>
      <w:r w:rsidR="00F564DF">
        <w:rPr>
          <w:lang w:val="bs-Cyrl-BA"/>
        </w:rPr>
        <w:t>који је усвојен</w:t>
      </w:r>
      <w:r w:rsidR="004F4B62">
        <w:rPr>
          <w:lang w:val="bs-Cyrl-BA"/>
        </w:rPr>
        <w:t xml:space="preserve">  на  23</w:t>
      </w:r>
      <w:r>
        <w:rPr>
          <w:lang w:val="bs-Cyrl-BA"/>
        </w:rPr>
        <w:t>.</w:t>
      </w:r>
      <w:r w:rsidR="004F4B62">
        <w:rPr>
          <w:lang w:val="bs-Cyrl-BA"/>
        </w:rPr>
        <w:t xml:space="preserve"> сједници. Слиједом тога на</w:t>
      </w:r>
      <w:r w:rsidR="00BC3274">
        <w:rPr>
          <w:lang w:val="bs-Cyrl-BA"/>
        </w:rPr>
        <w:t xml:space="preserve"> 24. сједници Скупштине</w:t>
      </w:r>
      <w:r w:rsidR="004A735A">
        <w:rPr>
          <w:lang w:val="bs-Cyrl-BA"/>
        </w:rPr>
        <w:t xml:space="preserve"> акционара а.д</w:t>
      </w:r>
      <w:r w:rsidR="00AA21F2">
        <w:rPr>
          <w:lang w:val="bs-Cyrl-BA"/>
        </w:rPr>
        <w:t>.</w:t>
      </w:r>
      <w:r w:rsidR="004A735A">
        <w:rPr>
          <w:lang w:val="bs-Cyrl-BA"/>
        </w:rPr>
        <w:t xml:space="preserve">  „Комуналац“ Дервента </w:t>
      </w:r>
      <w:r w:rsidR="00BC3274">
        <w:rPr>
          <w:lang w:val="bs-Cyrl-BA"/>
        </w:rPr>
        <w:t xml:space="preserve">која је одржана 18.06.2025. године </w:t>
      </w:r>
      <w:r w:rsidR="004F4B62">
        <w:rPr>
          <w:lang w:val="bs-Cyrl-BA"/>
        </w:rPr>
        <w:t>скупштина је донијела низ одлука које се односе на рад „К</w:t>
      </w:r>
      <w:r w:rsidR="0053521D">
        <w:rPr>
          <w:lang w:val="bs-Cyrl-BA"/>
        </w:rPr>
        <w:t>омуналац</w:t>
      </w:r>
      <w:r w:rsidR="00AA21F2">
        <w:rPr>
          <w:lang w:val="bs-Cyrl-BA"/>
        </w:rPr>
        <w:t xml:space="preserve">“ </w:t>
      </w:r>
      <w:r w:rsidR="004F4B62">
        <w:rPr>
          <w:lang w:val="bs-Cyrl-BA"/>
        </w:rPr>
        <w:t>а.д</w:t>
      </w:r>
      <w:r w:rsidR="00AA21F2">
        <w:rPr>
          <w:lang w:val="bs-Cyrl-BA"/>
        </w:rPr>
        <w:t>.</w:t>
      </w:r>
      <w:r w:rsidR="004F4B62">
        <w:rPr>
          <w:lang w:val="bs-Cyrl-BA"/>
        </w:rPr>
        <w:t xml:space="preserve"> Дервента у 2024. години и то:</w:t>
      </w:r>
      <w:r w:rsidR="004A735A">
        <w:rPr>
          <w:lang w:val="bs-Cyrl-BA"/>
        </w:rPr>
        <w:t xml:space="preserve"> Одлуку о усвајању записника са 23. годишње сједнице Скупштине а.д</w:t>
      </w:r>
      <w:r w:rsidR="00AA21F2">
        <w:rPr>
          <w:lang w:val="bs-Cyrl-BA"/>
        </w:rPr>
        <w:t>.</w:t>
      </w:r>
      <w:r w:rsidR="004A735A">
        <w:rPr>
          <w:lang w:val="bs-Cyrl-BA"/>
        </w:rPr>
        <w:t xml:space="preserve"> „Комуналац“ </w:t>
      </w:r>
      <w:r w:rsidR="004F4B62">
        <w:rPr>
          <w:lang w:val="bs-Cyrl-BA"/>
        </w:rPr>
        <w:t xml:space="preserve">Дервента, </w:t>
      </w:r>
      <w:r w:rsidR="004A735A">
        <w:rPr>
          <w:lang w:val="bs-Cyrl-BA"/>
        </w:rPr>
        <w:t xml:space="preserve">Одлуку о усвајању Извјештаја независног ревизора о финансијским извјештајима „Комуналац“ а.д </w:t>
      </w:r>
      <w:r w:rsidR="004F4B62">
        <w:rPr>
          <w:lang w:val="bs-Cyrl-BA"/>
        </w:rPr>
        <w:t>Дервента,</w:t>
      </w:r>
      <w:r w:rsidR="0053521D">
        <w:rPr>
          <w:lang w:val="bs-Cyrl-BA"/>
        </w:rPr>
        <w:t xml:space="preserve"> за 2024. годину</w:t>
      </w:r>
      <w:r w:rsidR="00AA21F2">
        <w:rPr>
          <w:lang w:val="bs-Cyrl-BA"/>
        </w:rPr>
        <w:t xml:space="preserve">, </w:t>
      </w:r>
      <w:r w:rsidR="004F4B62">
        <w:rPr>
          <w:lang w:val="bs-Cyrl-BA"/>
        </w:rPr>
        <w:t>Одлуку</w:t>
      </w:r>
      <w:r w:rsidR="004A735A">
        <w:rPr>
          <w:lang w:val="bs-Cyrl-BA"/>
        </w:rPr>
        <w:t xml:space="preserve"> о усвајању Финансијских извјештаја „Комуналац“ а.д</w:t>
      </w:r>
      <w:r w:rsidR="00AA21F2">
        <w:rPr>
          <w:lang w:val="bs-Cyrl-BA"/>
        </w:rPr>
        <w:t>.</w:t>
      </w:r>
      <w:r w:rsidR="004A735A">
        <w:rPr>
          <w:lang w:val="bs-Cyrl-BA"/>
        </w:rPr>
        <w:t xml:space="preserve"> Дервента за 202</w:t>
      </w:r>
      <w:r w:rsidR="004F4B62">
        <w:rPr>
          <w:lang w:val="bs-Cyrl-BA"/>
        </w:rPr>
        <w:t>4. годину, Одлуку</w:t>
      </w:r>
      <w:r w:rsidR="00DE10F0">
        <w:rPr>
          <w:lang w:val="bs-Cyrl-BA"/>
        </w:rPr>
        <w:t xml:space="preserve"> о расподјели добити остварене у 2024</w:t>
      </w:r>
      <w:r w:rsidR="004F4B62">
        <w:rPr>
          <w:lang w:val="bs-Cyrl-BA"/>
        </w:rPr>
        <w:t>. години, Одлуку</w:t>
      </w:r>
      <w:r w:rsidR="00DE10F0">
        <w:rPr>
          <w:lang w:val="bs-Cyrl-BA"/>
        </w:rPr>
        <w:t xml:space="preserve"> о усвајању Извјештаја о раду и пословању „Комуналац“ а.д</w:t>
      </w:r>
      <w:r w:rsidR="00AA21F2">
        <w:rPr>
          <w:lang w:val="bs-Cyrl-BA"/>
        </w:rPr>
        <w:t>.</w:t>
      </w:r>
      <w:r w:rsidR="00DE10F0">
        <w:rPr>
          <w:lang w:val="bs-Cyrl-BA"/>
        </w:rPr>
        <w:t xml:space="preserve"> Дервента у 202</w:t>
      </w:r>
      <w:r w:rsidR="004F4B62">
        <w:rPr>
          <w:lang w:val="bs-Cyrl-BA"/>
        </w:rPr>
        <w:t>4. години, Одлуку</w:t>
      </w:r>
      <w:r w:rsidR="00D74346">
        <w:rPr>
          <w:lang w:val="bs-Cyrl-BA"/>
        </w:rPr>
        <w:t xml:space="preserve"> о усвајању  Плана рада и пословања „Комуналац</w:t>
      </w:r>
      <w:r w:rsidR="004F4B62">
        <w:rPr>
          <w:lang w:val="bs-Cyrl-BA"/>
        </w:rPr>
        <w:t>“ а.д</w:t>
      </w:r>
      <w:r w:rsidR="00AA21F2">
        <w:rPr>
          <w:lang w:val="bs-Cyrl-BA"/>
        </w:rPr>
        <w:t>.</w:t>
      </w:r>
      <w:r w:rsidR="004F4B62">
        <w:rPr>
          <w:lang w:val="bs-Cyrl-BA"/>
        </w:rPr>
        <w:t xml:space="preserve"> Дервента за 2025. годину</w:t>
      </w:r>
      <w:r w:rsidR="00AA21F2">
        <w:rPr>
          <w:lang w:val="bs-Cyrl-BA"/>
        </w:rPr>
        <w:t>,</w:t>
      </w:r>
      <w:r w:rsidR="004F4B62">
        <w:rPr>
          <w:lang w:val="bs-Cyrl-BA"/>
        </w:rPr>
        <w:t xml:space="preserve"> Одлуку</w:t>
      </w:r>
      <w:r w:rsidR="00DE10F0">
        <w:rPr>
          <w:lang w:val="bs-Cyrl-BA"/>
        </w:rPr>
        <w:t xml:space="preserve"> о усвајању Извјештаја о раду Надзорног одбора „Комуналац“ а.д</w:t>
      </w:r>
      <w:r w:rsidR="00AA21F2">
        <w:rPr>
          <w:lang w:val="bs-Cyrl-BA"/>
        </w:rPr>
        <w:t>. Дервента у 2024. години,</w:t>
      </w:r>
      <w:r w:rsidR="004F4B62">
        <w:rPr>
          <w:lang w:val="bs-Cyrl-BA"/>
        </w:rPr>
        <w:t xml:space="preserve"> </w:t>
      </w:r>
      <w:r w:rsidR="00933DBE">
        <w:rPr>
          <w:lang w:val="bs-Cyrl-BA"/>
        </w:rPr>
        <w:t>О</w:t>
      </w:r>
      <w:r w:rsidR="00DE10F0">
        <w:rPr>
          <w:lang w:val="bs-Cyrl-BA"/>
        </w:rPr>
        <w:t>дл</w:t>
      </w:r>
      <w:r w:rsidR="004F4B62">
        <w:rPr>
          <w:lang w:val="bs-Cyrl-BA"/>
        </w:rPr>
        <w:t>уку</w:t>
      </w:r>
      <w:r w:rsidR="00DE10F0">
        <w:rPr>
          <w:lang w:val="bs-Cyrl-BA"/>
        </w:rPr>
        <w:t xml:space="preserve"> о усвајању Извјештаја о раду одбора за ревизију „Комунала</w:t>
      </w:r>
      <w:r w:rsidR="0053521D">
        <w:rPr>
          <w:lang w:val="bs-Cyrl-BA"/>
        </w:rPr>
        <w:t>ц</w:t>
      </w:r>
      <w:r w:rsidR="00DE10F0">
        <w:rPr>
          <w:lang w:val="bs-Cyrl-BA"/>
        </w:rPr>
        <w:t>“ а.д</w:t>
      </w:r>
      <w:r w:rsidR="00AA21F2">
        <w:rPr>
          <w:lang w:val="bs-Cyrl-BA"/>
        </w:rPr>
        <w:t>.</w:t>
      </w:r>
      <w:r w:rsidR="00DE10F0">
        <w:rPr>
          <w:lang w:val="bs-Cyrl-BA"/>
        </w:rPr>
        <w:t xml:space="preserve"> Дервента у 2024</w:t>
      </w:r>
      <w:r w:rsidR="004F4B62">
        <w:rPr>
          <w:lang w:val="bs-Cyrl-BA"/>
        </w:rPr>
        <w:t>. години , Одлуку</w:t>
      </w:r>
      <w:r w:rsidR="00DE10F0">
        <w:rPr>
          <w:lang w:val="bs-Cyrl-BA"/>
        </w:rPr>
        <w:t xml:space="preserve"> о усвајању Извјештаја о закљученим уговорима између „Комуналац“</w:t>
      </w:r>
      <w:r w:rsidR="00AA21F2">
        <w:rPr>
          <w:lang w:val="bs-Cyrl-BA"/>
        </w:rPr>
        <w:t>а.д</w:t>
      </w:r>
      <w:r w:rsidR="00DE10F0">
        <w:rPr>
          <w:lang w:val="bs-Cyrl-BA"/>
        </w:rPr>
        <w:t>.</w:t>
      </w:r>
      <w:r w:rsidR="00AA21F2">
        <w:rPr>
          <w:lang w:val="bs-Cyrl-BA"/>
        </w:rPr>
        <w:t xml:space="preserve"> </w:t>
      </w:r>
      <w:r w:rsidR="00DE10F0">
        <w:rPr>
          <w:lang w:val="bs-Cyrl-BA"/>
        </w:rPr>
        <w:t>Дервента и повезаних лица у 2024</w:t>
      </w:r>
      <w:r w:rsidR="004F4B62">
        <w:rPr>
          <w:lang w:val="bs-Cyrl-BA"/>
        </w:rPr>
        <w:t>. години</w:t>
      </w:r>
      <w:r w:rsidR="00AA21F2">
        <w:rPr>
          <w:lang w:val="bs-Cyrl-BA"/>
        </w:rPr>
        <w:t>.</w:t>
      </w:r>
      <w:r w:rsidR="0053521D">
        <w:rPr>
          <w:lang w:val="bs-Cyrl-BA"/>
        </w:rPr>
        <w:t xml:space="preserve"> С</w:t>
      </w:r>
      <w:r w:rsidR="004F4B62">
        <w:rPr>
          <w:lang w:val="bs-Cyrl-BA"/>
        </w:rPr>
        <w:t xml:space="preserve">ве одлуке су усвојене једногласно. </w:t>
      </w:r>
    </w:p>
    <w:p w:rsidR="00A3716D" w:rsidRDefault="00AA21F2" w:rsidP="00A6797D">
      <w:pPr>
        <w:spacing w:after="240"/>
        <w:ind w:right="-2"/>
        <w:jc w:val="both"/>
        <w:rPr>
          <w:lang w:val="bs-Cyrl-BA"/>
        </w:rPr>
      </w:pPr>
      <w:r>
        <w:rPr>
          <w:lang w:val="bs-Cyrl-BA"/>
        </w:rPr>
        <w:tab/>
      </w:r>
      <w:r w:rsidR="00A3716D">
        <w:rPr>
          <w:lang w:val="bs-Cyrl-BA"/>
        </w:rPr>
        <w:t>У 2024. укупни приходи „</w:t>
      </w:r>
      <w:r w:rsidR="00D74346">
        <w:rPr>
          <w:lang w:val="bs-Cyrl-BA"/>
        </w:rPr>
        <w:t>К</w:t>
      </w:r>
      <w:r w:rsidR="00A3716D">
        <w:rPr>
          <w:lang w:val="bs-Cyrl-BA"/>
        </w:rPr>
        <w:t>омуналац“ а.д</w:t>
      </w:r>
      <w:r>
        <w:rPr>
          <w:lang w:val="bs-Cyrl-BA"/>
        </w:rPr>
        <w:t xml:space="preserve">. </w:t>
      </w:r>
      <w:r w:rsidR="00A3716D">
        <w:rPr>
          <w:lang w:val="bs-Cyrl-BA"/>
        </w:rPr>
        <w:t xml:space="preserve"> Дервента износили су 4.542.541,00 КМ, укупни расх</w:t>
      </w:r>
      <w:r>
        <w:rPr>
          <w:lang w:val="bs-Cyrl-BA"/>
        </w:rPr>
        <w:t>оди износили су 4.352.442 КМ, (</w:t>
      </w:r>
      <w:r w:rsidR="00A3716D">
        <w:rPr>
          <w:lang w:val="bs-Cyrl-BA"/>
        </w:rPr>
        <w:t>амортизација 323</w:t>
      </w:r>
      <w:r w:rsidR="0053521D">
        <w:rPr>
          <w:lang w:val="bs-Cyrl-BA"/>
        </w:rPr>
        <w:t>.</w:t>
      </w:r>
      <w:r>
        <w:rPr>
          <w:lang w:val="bs-Cyrl-BA"/>
        </w:rPr>
        <w:t>532 КМ), бруто добит (по финансијском и</w:t>
      </w:r>
      <w:r w:rsidR="00A3716D">
        <w:rPr>
          <w:lang w:val="bs-Cyrl-BA"/>
        </w:rPr>
        <w:t>звјештају) 190.099,00 КМ, порез н</w:t>
      </w:r>
      <w:r w:rsidR="00B60D26">
        <w:rPr>
          <w:lang w:val="bs-Cyrl-BA"/>
        </w:rPr>
        <w:t>а добит (по порес</w:t>
      </w:r>
      <w:r w:rsidR="00A3716D">
        <w:rPr>
          <w:lang w:val="bs-Cyrl-BA"/>
        </w:rPr>
        <w:t>ком билансу) 19.188,00 КМ.</w:t>
      </w:r>
    </w:p>
    <w:p w:rsidR="00217C1F" w:rsidRPr="00217C1F" w:rsidRDefault="00AA21F2" w:rsidP="00217C1F">
      <w:pPr>
        <w:spacing w:after="240"/>
        <w:ind w:right="-2"/>
        <w:jc w:val="both"/>
        <w:rPr>
          <w:lang w:val="bs-Latn-BA"/>
        </w:rPr>
      </w:pPr>
      <w:r>
        <w:rPr>
          <w:lang w:val="bs-Cyrl-BA"/>
        </w:rPr>
        <w:tab/>
      </w:r>
      <w:r w:rsidR="00A3716D">
        <w:rPr>
          <w:lang w:val="bs-Cyrl-BA"/>
        </w:rPr>
        <w:t>Друштво је остварило добитак текуће године у износу од 170.911,00 КМ</w:t>
      </w:r>
      <w:r>
        <w:rPr>
          <w:lang w:val="bs-Cyrl-BA"/>
        </w:rPr>
        <w:t>,</w:t>
      </w:r>
      <w:r w:rsidR="00A3716D">
        <w:rPr>
          <w:lang w:val="bs-Cyrl-BA"/>
        </w:rPr>
        <w:t xml:space="preserve"> колико је исказано као нето добит на обрасцу Биланс успјеха. Скупштина акционара је донијела одлуку </w:t>
      </w:r>
      <w:r w:rsidR="00D74346">
        <w:rPr>
          <w:lang w:val="bs-Cyrl-BA"/>
        </w:rPr>
        <w:t xml:space="preserve">да се нето добит остварена у 2024. </w:t>
      </w:r>
      <w:r w:rsidR="004F4B62">
        <w:rPr>
          <w:lang w:val="bs-Cyrl-BA"/>
        </w:rPr>
        <w:t xml:space="preserve">години </w:t>
      </w:r>
      <w:r w:rsidR="00D74346">
        <w:rPr>
          <w:lang w:val="bs-Cyrl-BA"/>
        </w:rPr>
        <w:t>распоређује на покрииће дије</w:t>
      </w:r>
      <w:r w:rsidR="00217C1F">
        <w:rPr>
          <w:lang w:val="bs-Cyrl-BA"/>
        </w:rPr>
        <w:t>ла губитака из ранијих година</w:t>
      </w:r>
      <w:r w:rsidR="00217C1F">
        <w:rPr>
          <w:lang w:val="bs-Latn-BA"/>
        </w:rPr>
        <w:t>.</w:t>
      </w:r>
    </w:p>
    <w:p w:rsidR="00DE1452" w:rsidRPr="00E95379" w:rsidRDefault="00217C1F" w:rsidP="00217C1F">
      <w:pPr>
        <w:spacing w:after="240"/>
        <w:ind w:right="-2"/>
        <w:jc w:val="both"/>
        <w:rPr>
          <w:b/>
          <w:lang w:val="bs-Cyrl-BA"/>
        </w:rPr>
      </w:pPr>
      <w:r w:rsidRPr="00E95379">
        <w:rPr>
          <w:b/>
        </w:rPr>
        <w:t>Надзорн</w:t>
      </w:r>
      <w:r w:rsidR="00AA21F2" w:rsidRPr="00E95379">
        <w:rPr>
          <w:b/>
          <w:lang w:val="bs-Cyrl-BA"/>
        </w:rPr>
        <w:t>и</w:t>
      </w:r>
      <w:r w:rsidRPr="00E95379">
        <w:rPr>
          <w:b/>
          <w:lang w:val="bs-Cyrl-BA"/>
        </w:rPr>
        <w:t xml:space="preserve"> одбор</w:t>
      </w:r>
    </w:p>
    <w:p w:rsidR="00DE1452" w:rsidRDefault="00AA21F2" w:rsidP="00DE1452">
      <w:pPr>
        <w:suppressAutoHyphens w:val="0"/>
        <w:jc w:val="both"/>
      </w:pPr>
      <w:r>
        <w:tab/>
      </w:r>
      <w:r w:rsidR="00DE1452">
        <w:t xml:space="preserve">Надзорни одбор </w:t>
      </w:r>
      <w:r w:rsidR="00DE1452">
        <w:rPr>
          <w:lang w:val="bs-Cyrl-BA"/>
        </w:rPr>
        <w:t xml:space="preserve"> „Комуналац“ а.д</w:t>
      </w:r>
      <w:r>
        <w:rPr>
          <w:lang w:val="bs-Cyrl-BA"/>
        </w:rPr>
        <w:t>.</w:t>
      </w:r>
      <w:r w:rsidR="00DE1452">
        <w:rPr>
          <w:lang w:val="bs-Cyrl-BA"/>
        </w:rPr>
        <w:t xml:space="preserve"> Дервента </w:t>
      </w:r>
      <w:r w:rsidR="00DE1452">
        <w:t xml:space="preserve">се састоји од три члана, које именује Скупштина акционара. </w:t>
      </w:r>
    </w:p>
    <w:p w:rsidR="00DE1452" w:rsidRDefault="00AA21F2" w:rsidP="00DE1452">
      <w:pPr>
        <w:suppressAutoHyphens w:val="0"/>
        <w:jc w:val="both"/>
      </w:pPr>
      <w:r>
        <w:tab/>
      </w:r>
      <w:r w:rsidR="00DE1452">
        <w:t xml:space="preserve">Два члана Надзорног одбора бирају се испред  </w:t>
      </w:r>
      <w:r w:rsidR="00DE1452">
        <w:rPr>
          <w:lang w:val="bs-Cyrl-BA"/>
        </w:rPr>
        <w:t xml:space="preserve">Града </w:t>
      </w:r>
      <w:r w:rsidR="00DE1452">
        <w:t>Дервента и један из реда мањинских акционара, на период од пет година уз могућност поновног избора.</w:t>
      </w:r>
    </w:p>
    <w:p w:rsidR="00DE1452" w:rsidRDefault="00AA21F2" w:rsidP="00DE1452">
      <w:pPr>
        <w:suppressAutoHyphens w:val="0"/>
        <w:jc w:val="both"/>
        <w:rPr>
          <w:lang w:val="bs-Cyrl-BA"/>
        </w:rPr>
      </w:pPr>
      <w:r>
        <w:rPr>
          <w:lang w:val="bs-Cyrl-BA"/>
        </w:rPr>
        <w:tab/>
      </w:r>
      <w:r w:rsidR="00DE1452">
        <w:rPr>
          <w:lang w:val="bs-Cyrl-BA"/>
        </w:rPr>
        <w:t xml:space="preserve">Предлагање и избор чланова Надзорног одбора испред Града врши се по поступку предвиђеном Законом о министарским, владиним и другим именовањима а у том циљу Скупштина акционара доноси Одлуку о расписивању Јавног конкурса, Одлуку о утврђивању услова, стандарда и критерија и Одлуку о именовању Комисије за избор. </w:t>
      </w:r>
      <w:r w:rsidR="00DE1452">
        <w:rPr>
          <w:lang w:val="bs-Cyrl-BA"/>
        </w:rPr>
        <w:lastRenderedPageBreak/>
        <w:t>Комисија за избор се састоји од пет чланова од којих су три службеника Градске управе Града Дервента</w:t>
      </w:r>
      <w:r>
        <w:rPr>
          <w:lang w:val="bs-Cyrl-BA"/>
        </w:rPr>
        <w:t>,</w:t>
      </w:r>
      <w:r w:rsidR="00DE1452">
        <w:rPr>
          <w:lang w:val="bs-Cyrl-BA"/>
        </w:rPr>
        <w:t xml:space="preserve"> а два из реда лица који познају процедуре избора и дјелатност Предузећа. Надзорни одбор из реда својих чланова бира предсједника и замјеника предсједника. </w:t>
      </w:r>
    </w:p>
    <w:p w:rsidR="00DE1452" w:rsidRDefault="00DE1452" w:rsidP="00DE1452">
      <w:pPr>
        <w:suppressAutoHyphens w:val="0"/>
        <w:jc w:val="both"/>
        <w:rPr>
          <w:lang w:val="bs-Cyrl-BA"/>
        </w:rPr>
      </w:pPr>
    </w:p>
    <w:p w:rsidR="00DE1452" w:rsidRPr="00AA21F2" w:rsidRDefault="00AA21F2" w:rsidP="00DE1452">
      <w:pPr>
        <w:tabs>
          <w:tab w:val="center" w:pos="4536"/>
        </w:tabs>
        <w:suppressAutoHyphens w:val="0"/>
        <w:jc w:val="both"/>
        <w:rPr>
          <w:lang w:val="bs-Latn-BA"/>
        </w:rPr>
      </w:pPr>
      <w:r>
        <w:rPr>
          <w:lang w:val="bs-Cyrl-BA"/>
        </w:rPr>
        <w:tab/>
        <w:t xml:space="preserve">          </w:t>
      </w:r>
      <w:r w:rsidR="00DE1452">
        <w:rPr>
          <w:lang w:val="bs-Cyrl-BA"/>
        </w:rPr>
        <w:t xml:space="preserve">Надзорни одбор „Комуналац“ а.д . Дервента у </w:t>
      </w:r>
      <w:r w:rsidR="00217C1F">
        <w:rPr>
          <w:lang w:val="bs-Cyrl-BA"/>
        </w:rPr>
        <w:t>току 2024. године одржао је 7.  сједница .</w:t>
      </w:r>
    </w:p>
    <w:p w:rsidR="00DE1452" w:rsidRDefault="00AA21F2" w:rsidP="00DE1452">
      <w:pPr>
        <w:tabs>
          <w:tab w:val="center" w:pos="4536"/>
        </w:tabs>
        <w:suppressAutoHyphens w:val="0"/>
        <w:jc w:val="both"/>
        <w:rPr>
          <w:bCs/>
          <w:lang w:val="bs-Cyrl-BA"/>
        </w:rPr>
      </w:pPr>
      <w:r>
        <w:rPr>
          <w:lang w:val="bs-Cyrl-BA"/>
        </w:rPr>
        <w:tab/>
        <w:t xml:space="preserve">          </w:t>
      </w:r>
      <w:r w:rsidR="00DE1452">
        <w:rPr>
          <w:lang w:val="bs-Cyrl-BA"/>
        </w:rPr>
        <w:t>Надзорни одбор „Комуналац“ а.д</w:t>
      </w:r>
      <w:r>
        <w:rPr>
          <w:lang w:val="bs-Cyrl-BA"/>
        </w:rPr>
        <w:t>.</w:t>
      </w:r>
      <w:r w:rsidR="00DE1452">
        <w:rPr>
          <w:lang w:val="bs-Cyrl-BA"/>
        </w:rPr>
        <w:t xml:space="preserve"> Дервента између осталог доносио је одлуке </w:t>
      </w:r>
      <w:r>
        <w:rPr>
          <w:lang w:val="bs-Cyrl-BA"/>
        </w:rPr>
        <w:t>о усвајању</w:t>
      </w:r>
      <w:r w:rsidR="00DE1452">
        <w:rPr>
          <w:lang w:val="bs-Cyrl-BA"/>
        </w:rPr>
        <w:t xml:space="preserve"> План</w:t>
      </w:r>
      <w:r>
        <w:rPr>
          <w:lang w:val="bs-Cyrl-BA"/>
        </w:rPr>
        <w:t>а</w:t>
      </w:r>
      <w:r w:rsidR="00DE1452">
        <w:rPr>
          <w:lang w:val="bs-Cyrl-BA"/>
        </w:rPr>
        <w:t xml:space="preserve"> јавних набавки за 2024. годину, разматрао Извјештај о реализованим јавним набавкама и одлучивао и  о другим текућим питањима везаних за рад  Предузећа. Поред тога  Надзорни одбор је припремао и предлагао Скупштини акционара одлуке из своје надлежности.</w:t>
      </w:r>
    </w:p>
    <w:p w:rsidR="00DE1452" w:rsidRDefault="00AA21F2" w:rsidP="00DE1452">
      <w:pPr>
        <w:tabs>
          <w:tab w:val="center" w:pos="4536"/>
        </w:tabs>
        <w:suppressAutoHyphens w:val="0"/>
        <w:spacing w:after="240"/>
        <w:jc w:val="both"/>
        <w:rPr>
          <w:bCs/>
          <w:lang w:val="bs-Cyrl-BA"/>
        </w:rPr>
      </w:pPr>
      <w:r>
        <w:tab/>
      </w:r>
      <w:r>
        <w:rPr>
          <w:lang w:val="bs-Cyrl-BA"/>
        </w:rPr>
        <w:t xml:space="preserve">          </w:t>
      </w:r>
      <w:r w:rsidR="00DE1452">
        <w:t xml:space="preserve">На свакој годишњој </w:t>
      </w:r>
      <w:r w:rsidR="00DE1452">
        <w:rPr>
          <w:lang w:val="bs-Cyrl-BA"/>
        </w:rPr>
        <w:t>С</w:t>
      </w:r>
      <w:r w:rsidR="00DE1452">
        <w:t>купштини акционара</w:t>
      </w:r>
      <w:r>
        <w:rPr>
          <w:lang w:val="bs-Cyrl-BA"/>
        </w:rPr>
        <w:t>,</w:t>
      </w:r>
      <w:r w:rsidR="00DE1452">
        <w:t xml:space="preserve"> Надзорни одбор </w:t>
      </w:r>
      <w:r>
        <w:t xml:space="preserve">је </w:t>
      </w:r>
      <w:r w:rsidR="00DE1452">
        <w:t>дужан дати ажуран и комплетан извјештај акционарима о стању и пословима Предузећа, укључујући нарочито извјештај о финансијском стању Предузећа.</w:t>
      </w:r>
    </w:p>
    <w:p w:rsidR="00DE1452" w:rsidRDefault="00AA21F2" w:rsidP="00DE1452">
      <w:pPr>
        <w:tabs>
          <w:tab w:val="center" w:pos="4536"/>
        </w:tabs>
        <w:suppressAutoHyphens w:val="0"/>
        <w:jc w:val="both"/>
        <w:rPr>
          <w:bCs/>
          <w:lang w:val="bs-Cyrl-BA"/>
        </w:rPr>
      </w:pPr>
      <w:r>
        <w:rPr>
          <w:bCs/>
          <w:lang w:val="bs-Cyrl-BA"/>
        </w:rPr>
        <w:tab/>
        <w:t xml:space="preserve">          </w:t>
      </w:r>
      <w:r w:rsidR="00DE1452">
        <w:rPr>
          <w:bCs/>
          <w:lang w:val="bs-Cyrl-BA"/>
        </w:rPr>
        <w:t>Скупштина акционара „Комуналац“ а.д</w:t>
      </w:r>
      <w:r>
        <w:rPr>
          <w:bCs/>
          <w:lang w:val="bs-Cyrl-BA"/>
        </w:rPr>
        <w:t>.</w:t>
      </w:r>
      <w:r w:rsidR="00DE1452">
        <w:rPr>
          <w:bCs/>
          <w:lang w:val="bs-Cyrl-BA"/>
        </w:rPr>
        <w:t xml:space="preserve"> Дервента на својој 24. годишњој Скупштини донијела је Одлуку о усвајању Извјештаја о раду Надзорног одбора „Комуналац“ а.д</w:t>
      </w:r>
      <w:r>
        <w:rPr>
          <w:bCs/>
          <w:lang w:val="bs-Cyrl-BA"/>
        </w:rPr>
        <w:t>.</w:t>
      </w:r>
      <w:r w:rsidR="00DE1452">
        <w:rPr>
          <w:bCs/>
          <w:lang w:val="bs-Cyrl-BA"/>
        </w:rPr>
        <w:t xml:space="preserve"> Дервента за 2024. годину.</w:t>
      </w:r>
    </w:p>
    <w:p w:rsidR="00DE1452" w:rsidRDefault="00DE1452" w:rsidP="00DE1452">
      <w:pPr>
        <w:tabs>
          <w:tab w:val="center" w:pos="4536"/>
        </w:tabs>
        <w:suppressAutoHyphens w:val="0"/>
        <w:jc w:val="both"/>
        <w:rPr>
          <w:bCs/>
          <w:lang w:val="sr-Cyrl-BA"/>
        </w:rPr>
      </w:pPr>
    </w:p>
    <w:p w:rsidR="00DE1452" w:rsidRDefault="00DE1452" w:rsidP="00DE1452">
      <w:pPr>
        <w:tabs>
          <w:tab w:val="left" w:pos="2344"/>
        </w:tabs>
        <w:suppressAutoHyphens w:val="0"/>
        <w:rPr>
          <w:b/>
          <w:bCs/>
          <w:lang w:val="sr-Cyrl-BA"/>
        </w:rPr>
      </w:pPr>
      <w:r>
        <w:rPr>
          <w:b/>
          <w:bCs/>
          <w:lang w:val="sr-Cyrl-BA"/>
        </w:rPr>
        <w:t>Управа Предузећа</w:t>
      </w:r>
    </w:p>
    <w:p w:rsidR="00DE1452" w:rsidRDefault="00DE1452" w:rsidP="00DE1452">
      <w:pPr>
        <w:tabs>
          <w:tab w:val="left" w:pos="2344"/>
        </w:tabs>
        <w:suppressAutoHyphens w:val="0"/>
        <w:rPr>
          <w:bCs/>
          <w:lang w:val="sr-Cyrl-BA"/>
        </w:rPr>
      </w:pPr>
    </w:p>
    <w:p w:rsidR="00DE1452" w:rsidRDefault="00AA21F2" w:rsidP="00DE1452">
      <w:pPr>
        <w:tabs>
          <w:tab w:val="left" w:pos="2344"/>
        </w:tabs>
        <w:suppressAutoHyphens w:val="0"/>
        <w:jc w:val="both"/>
        <w:rPr>
          <w:bCs/>
          <w:lang w:val="sr-Cyrl-BA"/>
        </w:rPr>
      </w:pPr>
      <w:r>
        <w:rPr>
          <w:bCs/>
          <w:lang w:val="sr-Cyrl-BA"/>
        </w:rPr>
        <w:t xml:space="preserve">          </w:t>
      </w:r>
      <w:r w:rsidR="00DE1452">
        <w:rPr>
          <w:bCs/>
          <w:lang w:val="sr-Cyrl-BA"/>
        </w:rPr>
        <w:t>Управу Предузећа чине директор и извршни директори.  Директора  Предузећа и извршне директоре именује Надзорни одбор „Комуналац“ а.д</w:t>
      </w:r>
      <w:r>
        <w:rPr>
          <w:bCs/>
          <w:lang w:val="sr-Cyrl-BA"/>
        </w:rPr>
        <w:t>.</w:t>
      </w:r>
      <w:r w:rsidR="00DE1452">
        <w:rPr>
          <w:bCs/>
          <w:lang w:val="sr-Cyrl-BA"/>
        </w:rPr>
        <w:t xml:space="preserve"> Дервента.</w:t>
      </w:r>
    </w:p>
    <w:p w:rsidR="00DE1452" w:rsidRDefault="00AA21F2" w:rsidP="00DE1452">
      <w:pPr>
        <w:tabs>
          <w:tab w:val="left" w:pos="2344"/>
        </w:tabs>
        <w:suppressAutoHyphens w:val="0"/>
        <w:jc w:val="both"/>
        <w:rPr>
          <w:bCs/>
          <w:lang w:val="sr-Cyrl-BA"/>
        </w:rPr>
      </w:pPr>
      <w:r>
        <w:rPr>
          <w:bCs/>
          <w:lang w:val="sr-Cyrl-BA"/>
        </w:rPr>
        <w:t xml:space="preserve">          </w:t>
      </w:r>
      <w:r w:rsidR="00DE1452">
        <w:rPr>
          <w:bCs/>
          <w:lang w:val="sr-Cyrl-BA"/>
        </w:rPr>
        <w:t>Одлуку о расписивању конкурса за избор чланова Управе доноси Надзорни одбор  и истовремено именује Комисију за избор од пет чланова који познају област од интереса за пословање Предузећа.</w:t>
      </w:r>
    </w:p>
    <w:p w:rsidR="00DE1452" w:rsidRDefault="00DE1452" w:rsidP="00DE1452">
      <w:pPr>
        <w:tabs>
          <w:tab w:val="left" w:pos="2344"/>
        </w:tabs>
        <w:suppressAutoHyphens w:val="0"/>
        <w:jc w:val="both"/>
        <w:rPr>
          <w:bCs/>
          <w:lang w:val="sr-Cyrl-BA"/>
        </w:rPr>
      </w:pPr>
    </w:p>
    <w:p w:rsidR="00DE1452" w:rsidRDefault="00AA21F2" w:rsidP="00DE1452">
      <w:pPr>
        <w:tabs>
          <w:tab w:val="center" w:pos="4536"/>
        </w:tabs>
        <w:suppressAutoHyphens w:val="0"/>
        <w:rPr>
          <w:bCs/>
          <w:lang w:val="sr-Cyrl-BA"/>
        </w:rPr>
      </w:pPr>
      <w:r>
        <w:rPr>
          <w:bCs/>
          <w:lang w:val="sr-Cyrl-BA"/>
        </w:rPr>
        <w:t xml:space="preserve">          </w:t>
      </w:r>
      <w:r w:rsidR="00DE1452">
        <w:rPr>
          <w:bCs/>
          <w:lang w:val="sr-Cyrl-BA"/>
        </w:rPr>
        <w:t>Надлежности Управе:</w:t>
      </w:r>
    </w:p>
    <w:p w:rsidR="00DE1452" w:rsidRDefault="00DE1452" w:rsidP="00DE1452">
      <w:pPr>
        <w:suppressAutoHyphens w:val="0"/>
        <w:rPr>
          <w:lang w:val="bs-Cyrl-BA"/>
        </w:rPr>
      </w:pPr>
      <w:r>
        <w:t xml:space="preserve">1. организује и води пословање Предузећа, </w:t>
      </w:r>
    </w:p>
    <w:p w:rsidR="00AA21F2" w:rsidRDefault="00DE1452" w:rsidP="00DE1452">
      <w:pPr>
        <w:suppressAutoHyphens w:val="0"/>
      </w:pPr>
      <w:r>
        <w:t xml:space="preserve">2. утврђује и предлеже Надзорном одбору макро и микро организацију, одређује број </w:t>
      </w:r>
    </w:p>
    <w:p w:rsidR="00DE1452" w:rsidRDefault="00AA21F2" w:rsidP="00DE1452">
      <w:pPr>
        <w:suppressAutoHyphens w:val="0"/>
      </w:pPr>
      <w:r>
        <w:rPr>
          <w:lang w:val="bs-Cyrl-BA"/>
        </w:rPr>
        <w:t xml:space="preserve">    </w:t>
      </w:r>
      <w:r w:rsidR="00DE1452">
        <w:t xml:space="preserve">извршних директора и других запослених, </w:t>
      </w:r>
    </w:p>
    <w:p w:rsidR="00DE1452" w:rsidRDefault="00DE1452" w:rsidP="00DE1452">
      <w:pPr>
        <w:suppressAutoHyphens w:val="0"/>
      </w:pPr>
      <w:r>
        <w:t>3. заступа Предузећ</w:t>
      </w:r>
      <w:r w:rsidR="00E95379">
        <w:rPr>
          <w:lang w:val="bs-Cyrl-BA"/>
        </w:rPr>
        <w:t>е</w:t>
      </w:r>
      <w:r>
        <w:t xml:space="preserve"> према трећим лицима, </w:t>
      </w:r>
    </w:p>
    <w:p w:rsidR="00DE1452" w:rsidRDefault="00DE1452" w:rsidP="00DE1452">
      <w:pPr>
        <w:suppressAutoHyphens w:val="0"/>
      </w:pPr>
      <w:r>
        <w:t>4. стара се за законит рад Предузећа,</w:t>
      </w:r>
    </w:p>
    <w:p w:rsidR="00DE1452" w:rsidRDefault="00DE1452" w:rsidP="00DE1452">
      <w:pPr>
        <w:suppressAutoHyphens w:val="0"/>
      </w:pPr>
      <w:r>
        <w:t>5. изв</w:t>
      </w:r>
      <w:r w:rsidR="00AA21F2">
        <w:rPr>
          <w:lang w:val="bs-Cyrl-BA"/>
        </w:rPr>
        <w:t>ј</w:t>
      </w:r>
      <w:r>
        <w:t>ештава Надзорн</w:t>
      </w:r>
      <w:r w:rsidR="00E95379">
        <w:rPr>
          <w:lang w:val="bs-Cyrl-BA"/>
        </w:rPr>
        <w:t>и</w:t>
      </w:r>
      <w:r>
        <w:t xml:space="preserve"> одбор на захтев Надзорног одбора, </w:t>
      </w:r>
    </w:p>
    <w:p w:rsidR="00DE1452" w:rsidRDefault="00DE1452" w:rsidP="00DE1452">
      <w:pPr>
        <w:suppressAutoHyphens w:val="0"/>
      </w:pPr>
      <w:r>
        <w:t>6. спрово</w:t>
      </w:r>
      <w:r w:rsidR="00E95379">
        <w:rPr>
          <w:lang w:val="bs-Cyrl-BA"/>
        </w:rPr>
        <w:t>ди</w:t>
      </w:r>
      <w:r>
        <w:t xml:space="preserve"> Етичк</w:t>
      </w:r>
      <w:r w:rsidR="00E95379">
        <w:rPr>
          <w:lang w:val="bs-Cyrl-BA"/>
        </w:rPr>
        <w:t>и</w:t>
      </w:r>
      <w:r>
        <w:t xml:space="preserve"> кодекс,</w:t>
      </w:r>
    </w:p>
    <w:p w:rsidR="00DE1452" w:rsidRPr="00AA21F2" w:rsidRDefault="00DE1452" w:rsidP="00DE1452">
      <w:pPr>
        <w:suppressAutoHyphens w:val="0"/>
        <w:rPr>
          <w:lang w:val="bs-Cyrl-BA"/>
        </w:rPr>
      </w:pPr>
      <w:r>
        <w:t>7. изра</w:t>
      </w:r>
      <w:r w:rsidR="00E95379">
        <w:rPr>
          <w:lang w:val="bs-Cyrl-BA"/>
        </w:rPr>
        <w:t>ђује</w:t>
      </w:r>
      <w:r>
        <w:t xml:space="preserve"> и надгледа реализациј</w:t>
      </w:r>
      <w:r w:rsidR="00E95379">
        <w:rPr>
          <w:lang w:val="bs-Cyrl-BA"/>
        </w:rPr>
        <w:t>у</w:t>
      </w:r>
      <w:r>
        <w:t xml:space="preserve"> планова пословања</w:t>
      </w:r>
      <w:r w:rsidR="00AA21F2">
        <w:rPr>
          <w:lang w:val="bs-Cyrl-BA"/>
        </w:rPr>
        <w:t>,</w:t>
      </w:r>
    </w:p>
    <w:p w:rsidR="00AA21F2" w:rsidRDefault="00DE1452" w:rsidP="00DE1452">
      <w:pPr>
        <w:suppressAutoHyphens w:val="0"/>
      </w:pPr>
      <w:r>
        <w:t>8. предла</w:t>
      </w:r>
      <w:r w:rsidR="00E95379">
        <w:rPr>
          <w:lang w:val="bs-Cyrl-BA"/>
        </w:rPr>
        <w:t>же</w:t>
      </w:r>
      <w:r>
        <w:t xml:space="preserve"> и спрово</w:t>
      </w:r>
      <w:r w:rsidR="00E95379">
        <w:rPr>
          <w:lang w:val="bs-Cyrl-BA"/>
        </w:rPr>
        <w:t>ди</w:t>
      </w:r>
      <w:r>
        <w:t xml:space="preserve"> смјерниц</w:t>
      </w:r>
      <w:r w:rsidR="00E95379">
        <w:rPr>
          <w:lang w:val="bs-Cyrl-BA"/>
        </w:rPr>
        <w:t>е</w:t>
      </w:r>
      <w:r>
        <w:t xml:space="preserve"> о набавци</w:t>
      </w:r>
      <w:r w:rsidR="00AA21F2">
        <w:rPr>
          <w:lang w:val="bs-Cyrl-BA"/>
        </w:rPr>
        <w:t>,</w:t>
      </w:r>
      <w:r>
        <w:t xml:space="preserve"> те спрово</w:t>
      </w:r>
      <w:r w:rsidR="00E95379">
        <w:rPr>
          <w:lang w:val="bs-Cyrl-BA"/>
        </w:rPr>
        <w:t>ди</w:t>
      </w:r>
      <w:r w:rsidR="00E95379">
        <w:t xml:space="preserve"> важећ</w:t>
      </w:r>
      <w:r w:rsidR="00E95379">
        <w:rPr>
          <w:lang w:val="bs-Cyrl-BA"/>
        </w:rPr>
        <w:t>е</w:t>
      </w:r>
      <w:r>
        <w:t xml:space="preserve"> пропис</w:t>
      </w:r>
      <w:r w:rsidR="00E95379">
        <w:rPr>
          <w:lang w:val="bs-Cyrl-BA"/>
        </w:rPr>
        <w:t>е</w:t>
      </w:r>
      <w:r>
        <w:t xml:space="preserve"> у тој </w:t>
      </w:r>
    </w:p>
    <w:p w:rsidR="00DE1452" w:rsidRDefault="00AA21F2" w:rsidP="00DE1452">
      <w:pPr>
        <w:suppressAutoHyphens w:val="0"/>
      </w:pPr>
      <w:r>
        <w:rPr>
          <w:lang w:val="bs-Cyrl-BA"/>
        </w:rPr>
        <w:t xml:space="preserve">    </w:t>
      </w:r>
      <w:r w:rsidR="00DE1452">
        <w:t xml:space="preserve">области, </w:t>
      </w:r>
    </w:p>
    <w:p w:rsidR="00DE1452" w:rsidRPr="00AA21F2" w:rsidRDefault="00DE1452" w:rsidP="00DE1452">
      <w:pPr>
        <w:suppressAutoHyphens w:val="0"/>
        <w:rPr>
          <w:lang w:val="bs-Cyrl-BA"/>
        </w:rPr>
      </w:pPr>
      <w:r>
        <w:t xml:space="preserve">9. </w:t>
      </w:r>
      <w:r w:rsidR="00E95379">
        <w:rPr>
          <w:lang w:val="bs-Cyrl-BA"/>
        </w:rPr>
        <w:t>утврђује</w:t>
      </w:r>
      <w:r>
        <w:t xml:space="preserve"> приједлог за расподјелу добити и покрићу губитака, </w:t>
      </w:r>
      <w:r w:rsidR="00AA21F2">
        <w:rPr>
          <w:lang w:val="bs-Cyrl-BA"/>
        </w:rPr>
        <w:t xml:space="preserve"> </w:t>
      </w:r>
    </w:p>
    <w:p w:rsidR="00AA21F2" w:rsidRDefault="00DE1452" w:rsidP="00DE1452">
      <w:pPr>
        <w:suppressAutoHyphens w:val="0"/>
      </w:pPr>
      <w:r>
        <w:t>10.</w:t>
      </w:r>
      <w:r w:rsidR="00AA21F2">
        <w:rPr>
          <w:lang w:val="bs-Cyrl-BA"/>
        </w:rPr>
        <w:t xml:space="preserve"> </w:t>
      </w:r>
      <w:r w:rsidR="00E95379">
        <w:rPr>
          <w:lang w:val="bs-Cyrl-BA"/>
        </w:rPr>
        <w:t>запошљава</w:t>
      </w:r>
      <w:r>
        <w:t xml:space="preserve"> и </w:t>
      </w:r>
      <w:r w:rsidR="00E95379">
        <w:rPr>
          <w:lang w:val="bs-Cyrl-BA"/>
        </w:rPr>
        <w:t>отпушта</w:t>
      </w:r>
      <w:r>
        <w:t xml:space="preserve"> запослен</w:t>
      </w:r>
      <w:r w:rsidR="00E95379">
        <w:rPr>
          <w:lang w:val="bs-Cyrl-BA"/>
        </w:rPr>
        <w:t>е</w:t>
      </w:r>
      <w:r>
        <w:t xml:space="preserve"> у складу са поступцима утврђеним актима </w:t>
      </w:r>
    </w:p>
    <w:p w:rsidR="00DE1452" w:rsidRDefault="00AA21F2" w:rsidP="00DE1452">
      <w:pPr>
        <w:suppressAutoHyphens w:val="0"/>
      </w:pPr>
      <w:r>
        <w:rPr>
          <w:lang w:val="bs-Cyrl-BA"/>
        </w:rPr>
        <w:t xml:space="preserve">     </w:t>
      </w:r>
      <w:r w:rsidR="00DE1452">
        <w:t xml:space="preserve">Предузећа и важећим законима, </w:t>
      </w:r>
    </w:p>
    <w:p w:rsidR="00AA21F2" w:rsidRDefault="00DE1452" w:rsidP="00DE1452">
      <w:pPr>
        <w:suppressAutoHyphens w:val="0"/>
        <w:rPr>
          <w:lang w:val="bs-Cyrl-BA"/>
        </w:rPr>
      </w:pPr>
      <w:r>
        <w:t>11. да</w:t>
      </w:r>
      <w:r w:rsidR="00E95379">
        <w:rPr>
          <w:lang w:val="bs-Cyrl-BA"/>
        </w:rPr>
        <w:t>је</w:t>
      </w:r>
      <w:r w:rsidR="00E95379">
        <w:t xml:space="preserve"> приједлог</w:t>
      </w:r>
      <w:r>
        <w:t xml:space="preserve"> Надзорном одбору о пословној сарадњи и повезивању са другим </w:t>
      </w:r>
      <w:r w:rsidR="00AA21F2">
        <w:rPr>
          <w:lang w:val="bs-Cyrl-BA"/>
        </w:rPr>
        <w:t xml:space="preserve"> </w:t>
      </w:r>
    </w:p>
    <w:p w:rsidR="00DE1452" w:rsidRDefault="00AA21F2" w:rsidP="00DE1452">
      <w:pPr>
        <w:suppressAutoHyphens w:val="0"/>
      </w:pPr>
      <w:r>
        <w:rPr>
          <w:lang w:val="bs-Cyrl-BA"/>
        </w:rPr>
        <w:t xml:space="preserve">      </w:t>
      </w:r>
      <w:r w:rsidR="00DE1452">
        <w:t>предузећима</w:t>
      </w:r>
    </w:p>
    <w:p w:rsidR="00AA21F2" w:rsidRDefault="00DE1452" w:rsidP="00DE1452">
      <w:pPr>
        <w:suppressAutoHyphens w:val="0"/>
        <w:jc w:val="both"/>
      </w:pPr>
      <w:r>
        <w:t>12. да</w:t>
      </w:r>
      <w:r w:rsidR="00E95379">
        <w:rPr>
          <w:lang w:val="bs-Cyrl-BA"/>
        </w:rPr>
        <w:t>је</w:t>
      </w:r>
      <w:r>
        <w:t xml:space="preserve"> приједлог Надзорном одбору о инвестиционим одлукама у складу са </w:t>
      </w:r>
    </w:p>
    <w:p w:rsidR="00DE1452" w:rsidRDefault="00AA21F2" w:rsidP="00DE1452">
      <w:pPr>
        <w:suppressAutoHyphens w:val="0"/>
        <w:jc w:val="both"/>
      </w:pPr>
      <w:r>
        <w:rPr>
          <w:lang w:val="bs-Cyrl-BA"/>
        </w:rPr>
        <w:t xml:space="preserve">      </w:t>
      </w:r>
      <w:r w:rsidR="00DE1452">
        <w:t xml:space="preserve">важећим законима о инвестицијама, </w:t>
      </w:r>
    </w:p>
    <w:p w:rsidR="00DE1452" w:rsidRDefault="00E95379" w:rsidP="00DE1452">
      <w:pPr>
        <w:suppressAutoHyphens w:val="0"/>
        <w:jc w:val="both"/>
      </w:pPr>
      <w:r>
        <w:t>13. да</w:t>
      </w:r>
      <w:r>
        <w:rPr>
          <w:lang w:val="bs-Cyrl-BA"/>
        </w:rPr>
        <w:t>је</w:t>
      </w:r>
      <w:r w:rsidR="00DE1452">
        <w:t xml:space="preserve"> приједлог Надзорном одбору о оснивању нових предузећа, </w:t>
      </w:r>
    </w:p>
    <w:p w:rsidR="00AA21F2" w:rsidRDefault="00DE1452" w:rsidP="00DE1452">
      <w:pPr>
        <w:suppressAutoHyphens w:val="0"/>
        <w:jc w:val="both"/>
      </w:pPr>
      <w:r>
        <w:t xml:space="preserve">14. доноси Правилник и Упутство о набавци којим се уређује поступак набавке у </w:t>
      </w:r>
    </w:p>
    <w:p w:rsidR="00DE1452" w:rsidRPr="00AA21F2" w:rsidRDefault="00AA21F2" w:rsidP="00DE1452">
      <w:pPr>
        <w:suppressAutoHyphens w:val="0"/>
        <w:jc w:val="both"/>
        <w:rPr>
          <w:lang w:val="bs-Cyrl-BA"/>
        </w:rPr>
      </w:pPr>
      <w:r>
        <w:rPr>
          <w:lang w:val="bs-Cyrl-BA"/>
        </w:rPr>
        <w:t xml:space="preserve">      </w:t>
      </w:r>
      <w:r w:rsidR="00DE1452">
        <w:t>Предузећу у складу са Законом којим се регулише та област</w:t>
      </w:r>
      <w:r>
        <w:rPr>
          <w:lang w:val="bs-Cyrl-BA"/>
        </w:rPr>
        <w:t>,</w:t>
      </w:r>
    </w:p>
    <w:p w:rsidR="00DE1452" w:rsidRDefault="00DE1452" w:rsidP="00DE1452">
      <w:pPr>
        <w:suppressAutoHyphens w:val="0"/>
        <w:jc w:val="both"/>
      </w:pPr>
      <w:r>
        <w:t>15. надзире запослене Предузећа у примени Закона из претходне тачке,</w:t>
      </w:r>
    </w:p>
    <w:p w:rsidR="00AA21F2" w:rsidRDefault="00DE1452" w:rsidP="00DE1452">
      <w:pPr>
        <w:suppressAutoHyphens w:val="0"/>
        <w:jc w:val="both"/>
      </w:pPr>
      <w:r>
        <w:lastRenderedPageBreak/>
        <w:t xml:space="preserve">16. припрема анализе, извјештаје и информације за потребе Одбора за ревизију, </w:t>
      </w:r>
    </w:p>
    <w:p w:rsidR="00DE1452" w:rsidRDefault="00AA21F2" w:rsidP="00DE1452">
      <w:pPr>
        <w:suppressAutoHyphens w:val="0"/>
        <w:jc w:val="both"/>
      </w:pPr>
      <w:r>
        <w:rPr>
          <w:lang w:val="bs-Cyrl-BA"/>
        </w:rPr>
        <w:t xml:space="preserve">      </w:t>
      </w:r>
      <w:r w:rsidR="00DE1452">
        <w:t xml:space="preserve">Надзорног одбора и Скупштине акционара, </w:t>
      </w:r>
    </w:p>
    <w:p w:rsidR="00AA21F2" w:rsidRDefault="00DE1452" w:rsidP="00DE1452">
      <w:pPr>
        <w:suppressAutoHyphens w:val="0"/>
        <w:jc w:val="both"/>
      </w:pPr>
      <w:r>
        <w:t xml:space="preserve">17. доноси акт о систематизацији радних места, именује и разрешава лица и одлучује о </w:t>
      </w:r>
    </w:p>
    <w:p w:rsidR="00DE1452" w:rsidRDefault="00AA21F2" w:rsidP="00DE1452">
      <w:pPr>
        <w:suppressAutoHyphens w:val="0"/>
        <w:jc w:val="both"/>
      </w:pPr>
      <w:r>
        <w:rPr>
          <w:lang w:val="bs-Cyrl-BA"/>
        </w:rPr>
        <w:t xml:space="preserve">      </w:t>
      </w:r>
      <w:r w:rsidR="00DE1452">
        <w:t xml:space="preserve">појединачним правима запослених у складу са Законом, </w:t>
      </w:r>
    </w:p>
    <w:p w:rsidR="00DE1452" w:rsidRDefault="00DE1452" w:rsidP="00DE1452">
      <w:pPr>
        <w:suppressAutoHyphens w:val="0"/>
        <w:jc w:val="both"/>
      </w:pPr>
      <w:r>
        <w:t>18. врши и друге послове утврђене Законом, Статутом и актима Предузећа.</w:t>
      </w:r>
    </w:p>
    <w:p w:rsidR="00DE1452" w:rsidRDefault="00DE1452" w:rsidP="00DE1452">
      <w:pPr>
        <w:suppressAutoHyphens w:val="0"/>
        <w:jc w:val="both"/>
        <w:rPr>
          <w:lang w:val="bs-Cyrl-BA"/>
        </w:rPr>
      </w:pPr>
    </w:p>
    <w:p w:rsidR="00DE1452" w:rsidRDefault="00AA21F2" w:rsidP="00DE1452">
      <w:pPr>
        <w:suppressAutoHyphens w:val="0"/>
        <w:jc w:val="both"/>
        <w:rPr>
          <w:lang w:val="bs-Cyrl-BA"/>
        </w:rPr>
      </w:pPr>
      <w:r>
        <w:rPr>
          <w:lang w:val="bs-Cyrl-BA"/>
        </w:rPr>
        <w:tab/>
      </w:r>
      <w:r w:rsidR="00DE1452">
        <w:rPr>
          <w:lang w:val="bs-Cyrl-BA"/>
        </w:rPr>
        <w:t>Скупштина акционара „Комуналац“ а.д</w:t>
      </w:r>
      <w:r w:rsidR="006D1A80">
        <w:rPr>
          <w:lang w:val="bs-Cyrl-BA"/>
        </w:rPr>
        <w:t>.</w:t>
      </w:r>
      <w:r w:rsidR="00DE1452">
        <w:rPr>
          <w:lang w:val="bs-Cyrl-BA"/>
        </w:rPr>
        <w:t xml:space="preserve"> Дервента је на својој 24. годишњој сједн</w:t>
      </w:r>
      <w:r w:rsidR="00F564DF">
        <w:rPr>
          <w:lang w:val="bs-Cyrl-BA"/>
        </w:rPr>
        <w:t xml:space="preserve">ици </w:t>
      </w:r>
      <w:r w:rsidR="00DE1452">
        <w:rPr>
          <w:lang w:val="bs-Cyrl-BA"/>
        </w:rPr>
        <w:t xml:space="preserve"> донијела Одлуку о усвајању Извјештаја </w:t>
      </w:r>
      <w:r w:rsidR="00DE1452">
        <w:rPr>
          <w:bCs/>
        </w:rPr>
        <w:t>о раду и пословању</w:t>
      </w:r>
      <w:r>
        <w:rPr>
          <w:bCs/>
          <w:lang w:val="bs-Cyrl-BA"/>
        </w:rPr>
        <w:t>“Комунакац“</w:t>
      </w:r>
      <w:r w:rsidR="00DE1452">
        <w:rPr>
          <w:bCs/>
        </w:rPr>
        <w:t xml:space="preserve"> а.д. </w:t>
      </w:r>
      <w:r w:rsidR="00DE1452">
        <w:rPr>
          <w:bCs/>
          <w:lang w:val="sr-Latn-BA"/>
        </w:rPr>
        <w:t xml:space="preserve"> </w:t>
      </w:r>
      <w:r w:rsidR="00DE1452">
        <w:rPr>
          <w:bCs/>
        </w:rPr>
        <w:t>Дервента у 20</w:t>
      </w:r>
      <w:r w:rsidR="00DE1452">
        <w:rPr>
          <w:bCs/>
          <w:lang w:val="sr-Cyrl-BA"/>
        </w:rPr>
        <w:t>2</w:t>
      </w:r>
      <w:r w:rsidR="00DE1452">
        <w:rPr>
          <w:bCs/>
        </w:rPr>
        <w:t>4. години</w:t>
      </w:r>
      <w:r w:rsidR="00DE1452">
        <w:rPr>
          <w:lang w:val="bs-Cyrl-BA"/>
        </w:rPr>
        <w:t xml:space="preserve"> .      </w:t>
      </w:r>
    </w:p>
    <w:p w:rsidR="00DE1452" w:rsidRDefault="00DE1452" w:rsidP="00DE1452">
      <w:pPr>
        <w:suppressAutoHyphens w:val="0"/>
        <w:jc w:val="both"/>
        <w:rPr>
          <w:lang w:val="bs-Cyrl-BA"/>
        </w:rPr>
      </w:pPr>
    </w:p>
    <w:p w:rsidR="00DE1452" w:rsidRPr="00F564DF" w:rsidRDefault="00DE1452" w:rsidP="00DE1452">
      <w:pPr>
        <w:suppressAutoHyphens w:val="0"/>
        <w:jc w:val="both"/>
        <w:rPr>
          <w:b/>
          <w:lang w:val="bs-Cyrl-BA"/>
        </w:rPr>
      </w:pPr>
    </w:p>
    <w:p w:rsidR="00DE1452" w:rsidRDefault="00DE1452" w:rsidP="00DE1452">
      <w:pPr>
        <w:suppressAutoHyphens w:val="0"/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</w:t>
      </w:r>
    </w:p>
    <w:p w:rsidR="00A6797D" w:rsidRPr="00AD42D4" w:rsidRDefault="00AD42D4" w:rsidP="00AD42D4">
      <w:pPr>
        <w:jc w:val="both"/>
        <w:rPr>
          <w:lang w:val="bs-Latn-BA"/>
        </w:rPr>
      </w:pPr>
      <w:r>
        <w:rPr>
          <w:lang w:val="bs-Cyrl-BA"/>
        </w:rPr>
        <w:t>ОБРАЂИВАЧ</w:t>
      </w:r>
      <w:r w:rsidR="006D1A80">
        <w:rPr>
          <w:lang w:val="bs-Cyrl-BA"/>
        </w:rPr>
        <w:t xml:space="preserve">:   </w:t>
      </w:r>
      <w:r>
        <w:rPr>
          <w:lang w:val="bs-Cyrl-BA"/>
        </w:rPr>
        <w:t xml:space="preserve">  </w:t>
      </w:r>
      <w:r w:rsidR="00DE1452">
        <w:rPr>
          <w:lang w:val="bs-Cyrl-BA"/>
        </w:rPr>
        <w:t xml:space="preserve">                   </w:t>
      </w:r>
      <w:r>
        <w:rPr>
          <w:lang w:val="bs-Cyrl-BA"/>
        </w:rPr>
        <w:t xml:space="preserve">                 </w:t>
      </w:r>
      <w:r>
        <w:rPr>
          <w:lang w:val="bs-Cyrl-BA"/>
        </w:rPr>
        <w:tab/>
        <w:t xml:space="preserve">                        </w:t>
      </w:r>
      <w:r w:rsidR="006D1A80">
        <w:rPr>
          <w:lang w:val="bs-Cyrl-BA"/>
        </w:rPr>
        <w:t xml:space="preserve">           </w:t>
      </w:r>
      <w:r>
        <w:rPr>
          <w:lang w:val="bs-Cyrl-BA"/>
        </w:rPr>
        <w:t xml:space="preserve"> ПРЕДЛАГАЧ:</w:t>
      </w:r>
      <w:r w:rsidR="004A735A">
        <w:rPr>
          <w:lang w:val="bs-Cyrl-BA"/>
        </w:rPr>
        <w:t xml:space="preserve"> </w:t>
      </w:r>
    </w:p>
    <w:p w:rsidR="006D1A80" w:rsidRDefault="006D1A80" w:rsidP="00A6797D">
      <w:pPr>
        <w:suppressAutoHyphens w:val="0"/>
        <w:jc w:val="both"/>
        <w:rPr>
          <w:lang w:val="bs-Cyrl-BA"/>
        </w:rPr>
      </w:pPr>
      <w:r>
        <w:rPr>
          <w:lang w:val="bs-Cyrl-BA"/>
        </w:rPr>
        <w:t xml:space="preserve">ОДЈЕЉЕЊЕ ЗА СТАМБЕНО-                       </w:t>
      </w:r>
      <w:r>
        <w:rPr>
          <w:lang w:val="bs-Cyrl-BA"/>
        </w:rPr>
        <w:tab/>
        <w:t xml:space="preserve">                   ГРАДОНАЧЕЛНИК                                                                                   </w:t>
      </w:r>
    </w:p>
    <w:p w:rsidR="00A6797D" w:rsidRDefault="006D1A80" w:rsidP="00A6797D">
      <w:pPr>
        <w:suppressAutoHyphens w:val="0"/>
        <w:jc w:val="both"/>
        <w:rPr>
          <w:lang w:val="bs-Cyrl-BA"/>
        </w:rPr>
      </w:pPr>
      <w:r>
        <w:rPr>
          <w:lang w:val="bs-Cyrl-BA"/>
        </w:rPr>
        <w:t>КОМУНАЛНЕ ПОСЛОВЕ</w:t>
      </w:r>
      <w:r w:rsidR="00A6797D">
        <w:rPr>
          <w:lang w:val="bs-Cyrl-BA"/>
        </w:rPr>
        <w:t xml:space="preserve">            </w:t>
      </w:r>
      <w:r>
        <w:rPr>
          <w:lang w:val="bs-Cyrl-BA"/>
        </w:rPr>
        <w:t xml:space="preserve"> </w:t>
      </w:r>
    </w:p>
    <w:p w:rsidR="006D1A80" w:rsidRDefault="00A6797D" w:rsidP="006D1A80">
      <w:pPr>
        <w:jc w:val="both"/>
      </w:pPr>
      <w:r>
        <w:rPr>
          <w:lang w:val="bs-Cyrl-BA"/>
        </w:rPr>
        <w:t xml:space="preserve">                 </w:t>
      </w:r>
      <w:r w:rsidR="006D1A80">
        <w:rPr>
          <w:lang w:val="bs-Cyrl-BA"/>
        </w:rPr>
        <w:t xml:space="preserve">                                                                                          Игор Жунић</w:t>
      </w:r>
    </w:p>
    <w:p w:rsidR="00A6797D" w:rsidRDefault="00A6797D" w:rsidP="00A6797D">
      <w:pPr>
        <w:jc w:val="both"/>
        <w:rPr>
          <w:lang w:val="bs-Cyrl-BA"/>
        </w:rPr>
      </w:pPr>
    </w:p>
    <w:p w:rsidR="00A6797D" w:rsidRDefault="00A6797D" w:rsidP="00A6797D">
      <w:pPr>
        <w:tabs>
          <w:tab w:val="left" w:pos="3523"/>
        </w:tabs>
        <w:jc w:val="both"/>
        <w:rPr>
          <w:lang w:val="bs-Latn-BA"/>
        </w:rPr>
      </w:pPr>
      <w:r>
        <w:tab/>
      </w:r>
    </w:p>
    <w:p w:rsidR="00A6797D" w:rsidRDefault="00A6797D" w:rsidP="00A6797D">
      <w:pPr>
        <w:rPr>
          <w:lang w:val="bs-Latn-BA"/>
        </w:rPr>
      </w:pPr>
    </w:p>
    <w:p w:rsidR="00A6797D" w:rsidRDefault="00A6797D" w:rsidP="00A6797D">
      <w:pPr>
        <w:rPr>
          <w:lang w:val="bs-Latn-BA"/>
        </w:rPr>
      </w:pPr>
    </w:p>
    <w:p w:rsidR="00A6797D" w:rsidRDefault="00A6797D" w:rsidP="00A6797D">
      <w:pPr>
        <w:rPr>
          <w:lang w:val="bs-Latn-BA"/>
        </w:rPr>
      </w:pPr>
    </w:p>
    <w:p w:rsidR="00A6797D" w:rsidRDefault="00A6797D" w:rsidP="00A6797D">
      <w:pPr>
        <w:rPr>
          <w:lang w:val="bs-Latn-BA"/>
        </w:rPr>
      </w:pPr>
    </w:p>
    <w:p w:rsidR="00A6797D" w:rsidRDefault="00A6797D" w:rsidP="00A6797D">
      <w:pPr>
        <w:rPr>
          <w:lang w:val="bs-Latn-BA"/>
        </w:rPr>
      </w:pPr>
    </w:p>
    <w:p w:rsidR="00C759BB" w:rsidRPr="00E10033" w:rsidRDefault="00A6797D" w:rsidP="00E10033">
      <w:pPr>
        <w:tabs>
          <w:tab w:val="left" w:pos="3747"/>
        </w:tabs>
        <w:rPr>
          <w:lang w:val="bs-Latn-BA"/>
        </w:rPr>
      </w:pPr>
      <w:r>
        <w:rPr>
          <w:lang w:val="bs-Latn-BA"/>
        </w:rPr>
        <w:tab/>
      </w:r>
    </w:p>
    <w:sectPr w:rsidR="00C759BB" w:rsidRPr="00E100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40B" w:rsidRDefault="0021740B" w:rsidP="004F1503">
      <w:r>
        <w:separator/>
      </w:r>
    </w:p>
  </w:endnote>
  <w:endnote w:type="continuationSeparator" w:id="0">
    <w:p w:rsidR="0021740B" w:rsidRDefault="0021740B" w:rsidP="004F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338309"/>
      <w:docPartObj>
        <w:docPartGallery w:val="Page Numbers (Bottom of Page)"/>
        <w:docPartUnique/>
      </w:docPartObj>
    </w:sdtPr>
    <w:sdtEndPr/>
    <w:sdtContent>
      <w:p w:rsidR="000E54AE" w:rsidRDefault="000E54AE">
        <w:pPr>
          <w:pStyle w:val="Podnoje"/>
        </w:pPr>
        <w:r>
          <w:rPr>
            <w:lang w:val="bs-Cyrl-BA"/>
          </w:rPr>
          <w:t xml:space="preserve">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7725" w:rsidRPr="007D7725">
          <w:rPr>
            <w:noProof/>
            <w:lang w:val="bs-Latn-BA"/>
          </w:rPr>
          <w:t>1</w:t>
        </w:r>
        <w:r>
          <w:fldChar w:fldCharType="end"/>
        </w:r>
      </w:p>
    </w:sdtContent>
  </w:sdt>
  <w:p w:rsidR="004F1503" w:rsidRDefault="004F150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40B" w:rsidRDefault="0021740B" w:rsidP="004F1503">
      <w:r>
        <w:separator/>
      </w:r>
    </w:p>
  </w:footnote>
  <w:footnote w:type="continuationSeparator" w:id="0">
    <w:p w:rsidR="0021740B" w:rsidRDefault="0021740B" w:rsidP="004F1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7D"/>
    <w:rsid w:val="00027005"/>
    <w:rsid w:val="000E54AE"/>
    <w:rsid w:val="001254D5"/>
    <w:rsid w:val="00170A1E"/>
    <w:rsid w:val="0021740B"/>
    <w:rsid w:val="00217C1F"/>
    <w:rsid w:val="002E1793"/>
    <w:rsid w:val="002E6824"/>
    <w:rsid w:val="00393225"/>
    <w:rsid w:val="004554DC"/>
    <w:rsid w:val="004A735A"/>
    <w:rsid w:val="004D15B1"/>
    <w:rsid w:val="004F1503"/>
    <w:rsid w:val="004F4B62"/>
    <w:rsid w:val="0053521D"/>
    <w:rsid w:val="005859DA"/>
    <w:rsid w:val="005C2626"/>
    <w:rsid w:val="005D2C8E"/>
    <w:rsid w:val="006222F6"/>
    <w:rsid w:val="006D1A80"/>
    <w:rsid w:val="00740DDC"/>
    <w:rsid w:val="007D7725"/>
    <w:rsid w:val="00836499"/>
    <w:rsid w:val="008B597A"/>
    <w:rsid w:val="00933DBE"/>
    <w:rsid w:val="009409D1"/>
    <w:rsid w:val="009511C3"/>
    <w:rsid w:val="00964FFE"/>
    <w:rsid w:val="009736D9"/>
    <w:rsid w:val="009F2591"/>
    <w:rsid w:val="00A3716D"/>
    <w:rsid w:val="00A6797D"/>
    <w:rsid w:val="00AA21F2"/>
    <w:rsid w:val="00AD42D4"/>
    <w:rsid w:val="00AE5FC5"/>
    <w:rsid w:val="00B60D26"/>
    <w:rsid w:val="00BC3274"/>
    <w:rsid w:val="00BE7EC1"/>
    <w:rsid w:val="00C46223"/>
    <w:rsid w:val="00C57018"/>
    <w:rsid w:val="00C759BB"/>
    <w:rsid w:val="00D74346"/>
    <w:rsid w:val="00DE10F0"/>
    <w:rsid w:val="00DE1206"/>
    <w:rsid w:val="00DE1452"/>
    <w:rsid w:val="00E10033"/>
    <w:rsid w:val="00E20445"/>
    <w:rsid w:val="00E63979"/>
    <w:rsid w:val="00E95379"/>
    <w:rsid w:val="00EA6431"/>
    <w:rsid w:val="00ED0B99"/>
    <w:rsid w:val="00F16E86"/>
    <w:rsid w:val="00F4091D"/>
    <w:rsid w:val="00F5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341BD-9C77-422E-8BBE-E4746C5E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A679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2E17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no"/>
    <w:next w:val="Normalno"/>
    <w:link w:val="Naslov2Znak"/>
    <w:unhideWhenUsed/>
    <w:qFormat/>
    <w:rsid w:val="00A6797D"/>
    <w:pPr>
      <w:keepNext/>
      <w:jc w:val="center"/>
      <w:outlineLvl w:val="1"/>
    </w:pPr>
    <w:rPr>
      <w:b/>
      <w:bCs/>
      <w:sz w:val="32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2E17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2Znak">
    <w:name w:val="Naslov 2 Znak"/>
    <w:basedOn w:val="Zadanifontparagrafa"/>
    <w:link w:val="Naslov2"/>
    <w:rsid w:val="00A6797D"/>
    <w:rPr>
      <w:rFonts w:ascii="Times New Roman" w:eastAsia="Times New Roman" w:hAnsi="Times New Roman" w:cs="Times New Roman"/>
      <w:b/>
      <w:bCs/>
      <w:sz w:val="32"/>
      <w:szCs w:val="24"/>
      <w:lang w:val="hr-HR" w:eastAsia="hr-HR"/>
    </w:rPr>
  </w:style>
  <w:style w:type="paragraph" w:styleId="Zaglavlje">
    <w:name w:val="header"/>
    <w:basedOn w:val="Normalno"/>
    <w:link w:val="ZaglavljeZnak"/>
    <w:uiPriority w:val="99"/>
    <w:unhideWhenUsed/>
    <w:rsid w:val="004F1503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4F150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4F1503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4F1503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33DBE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933DBE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Bezrazmaka">
    <w:name w:val="No Spacing"/>
    <w:uiPriority w:val="1"/>
    <w:qFormat/>
    <w:rsid w:val="002E17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Naslov1Znak">
    <w:name w:val="Naslov 1 Znak"/>
    <w:basedOn w:val="Zadanifontparagrafa"/>
    <w:link w:val="Naslov1"/>
    <w:uiPriority w:val="9"/>
    <w:rsid w:val="002E17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 w:eastAsia="hr-HR"/>
    </w:rPr>
  </w:style>
  <w:style w:type="paragraph" w:styleId="Naslov">
    <w:name w:val="Title"/>
    <w:basedOn w:val="Normalno"/>
    <w:next w:val="Normalno"/>
    <w:link w:val="NaslovZnak"/>
    <w:uiPriority w:val="10"/>
    <w:qFormat/>
    <w:rsid w:val="002E17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Zadanifontparagrafa"/>
    <w:link w:val="Naslov"/>
    <w:uiPriority w:val="10"/>
    <w:rsid w:val="002E1793"/>
    <w:rPr>
      <w:rFonts w:asciiTheme="majorHAnsi" w:eastAsiaTheme="majorEastAsia" w:hAnsiTheme="majorHAnsi" w:cstheme="majorBidi"/>
      <w:spacing w:val="-10"/>
      <w:kern w:val="28"/>
      <w:sz w:val="56"/>
      <w:szCs w:val="56"/>
      <w:lang w:val="hr-HR" w:eastAsia="hr-HR"/>
    </w:rPr>
  </w:style>
  <w:style w:type="character" w:customStyle="1" w:styleId="Naslov3Znak">
    <w:name w:val="Naslov 3 Znak"/>
    <w:basedOn w:val="Zadanifontparagrafa"/>
    <w:link w:val="Naslov3"/>
    <w:uiPriority w:val="9"/>
    <w:rsid w:val="002E17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hr-HR" w:eastAsia="hr-HR"/>
    </w:rPr>
  </w:style>
  <w:style w:type="paragraph" w:styleId="Podnaslov">
    <w:name w:val="Subtitle"/>
    <w:basedOn w:val="Normalno"/>
    <w:next w:val="Normalno"/>
    <w:link w:val="PodnaslovZnak"/>
    <w:uiPriority w:val="11"/>
    <w:qFormat/>
    <w:rsid w:val="002E179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slovZnak">
    <w:name w:val="Podnaslov Znak"/>
    <w:basedOn w:val="Zadanifontparagrafa"/>
    <w:link w:val="Podnaslov"/>
    <w:uiPriority w:val="11"/>
    <w:rsid w:val="002E1793"/>
    <w:rPr>
      <w:rFonts w:eastAsiaTheme="minorEastAsia"/>
      <w:color w:val="5A5A5A" w:themeColor="text1" w:themeTint="A5"/>
      <w:spacing w:val="15"/>
      <w:lang w:val="hr-HR" w:eastAsia="hr-HR"/>
    </w:rPr>
  </w:style>
  <w:style w:type="character" w:styleId="Fininaglasak">
    <w:name w:val="Subtle Emphasis"/>
    <w:basedOn w:val="Zadanifontparagrafa"/>
    <w:uiPriority w:val="19"/>
    <w:qFormat/>
    <w:rsid w:val="002E1793"/>
    <w:rPr>
      <w:i/>
      <w:iCs/>
      <w:color w:val="404040" w:themeColor="text1" w:themeTint="BF"/>
    </w:rPr>
  </w:style>
  <w:style w:type="character" w:styleId="Naglaavanje">
    <w:name w:val="Emphasis"/>
    <w:basedOn w:val="Zadanifontparagrafa"/>
    <w:uiPriority w:val="20"/>
    <w:qFormat/>
    <w:rsid w:val="002E1793"/>
    <w:rPr>
      <w:i/>
      <w:iCs/>
    </w:rPr>
  </w:style>
  <w:style w:type="character" w:styleId="Snaninaglasak">
    <w:name w:val="Intense Emphasis"/>
    <w:basedOn w:val="Zadanifontparagrafa"/>
    <w:uiPriority w:val="21"/>
    <w:qFormat/>
    <w:rsid w:val="002E179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Ivona Pejin</cp:lastModifiedBy>
  <cp:revision>9</cp:revision>
  <cp:lastPrinted>2025-08-21T07:57:00Z</cp:lastPrinted>
  <dcterms:created xsi:type="dcterms:W3CDTF">2025-08-19T11:52:00Z</dcterms:created>
  <dcterms:modified xsi:type="dcterms:W3CDTF">2025-08-21T08:02:00Z</dcterms:modified>
</cp:coreProperties>
</file>